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BA517"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center"/>
        <w:rPr>
          <w:rFonts w:ascii="GalanoGrotesqueAlt-Light" w:eastAsia="Lucida Sans Unicode" w:hAnsi="GalanoGrotesqueAlt-Light" w:cs="Lucida Sans Unicode"/>
          <w:b/>
          <w:bCs/>
          <w:w w:val="105"/>
          <w:kern w:val="0"/>
          <w:sz w:val="32"/>
          <w:szCs w:val="22"/>
          <w14:ligatures w14:val="none"/>
        </w:rPr>
      </w:pPr>
    </w:p>
    <w:p w14:paraId="49DD4E76" w14:textId="0AB0103D"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center"/>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BALDINTZA TEKNIKOEN PLEGUA, honena:</w:t>
      </w:r>
    </w:p>
    <w:p w14:paraId="18B3FCCC" w14:textId="5F93EF71" w:rsidR="00F418C8" w:rsidRPr="00FA6F59" w:rsidRDefault="00F418C8" w:rsidP="00FA6F59">
      <w:pPr>
        <w:widowControl w:val="0"/>
        <w:tabs>
          <w:tab w:val="left" w:pos="1518"/>
        </w:tabs>
        <w:autoSpaceDE w:val="0"/>
        <w:autoSpaceDN w:val="0"/>
        <w:spacing w:after="0" w:line="240" w:lineRule="auto"/>
        <w:mirrorIndents/>
        <w:jc w:val="center"/>
        <w:rPr>
          <w:rFonts w:ascii="GalanoGrotesqueAlt-Light" w:eastAsia="Lucida Sans Unicode" w:hAnsi="GalanoGrotesqueAlt-Light" w:cs="Lucida Sans Unicode"/>
          <w:b/>
          <w:bCs/>
          <w:spacing w:val="-10"/>
          <w:w w:val="105"/>
          <w:kern w:val="0"/>
          <w:sz w:val="32"/>
          <w:szCs w:val="22"/>
          <w14:ligatures w14:val="none"/>
        </w:rPr>
      </w:pPr>
      <w:r w:rsidRPr="00FA6F59">
        <w:rPr>
          <w:rFonts w:ascii="GalanoGrotesqueAlt-Light" w:eastAsia="Lucida Sans Unicode" w:hAnsi="GalanoGrotesqueAlt-Light" w:cs="Lucida Sans Unicode"/>
          <w:b/>
          <w:bCs/>
          <w:spacing w:val="-10"/>
          <w:kern w:val="0"/>
          <w:sz w:val="32"/>
          <w:szCs w:val="22"/>
          <w14:ligatures w14:val="none"/>
        </w:rPr>
        <w:t xml:space="preserve">Kultura- eta sormen-sektoreari aplikatutako Adimen Artifizialaren </w:t>
      </w:r>
      <w:proofErr w:type="spellStart"/>
      <w:r w:rsidRPr="00FA6F59">
        <w:rPr>
          <w:rFonts w:ascii="GalanoGrotesqueAlt-Light" w:eastAsia="Lucida Sans Unicode" w:hAnsi="GalanoGrotesqueAlt-Light" w:cs="Lucida Sans Unicode"/>
          <w:b/>
          <w:bCs/>
          <w:spacing w:val="-10"/>
          <w:kern w:val="0"/>
          <w:sz w:val="32"/>
          <w:szCs w:val="22"/>
          <w14:ligatures w14:val="none"/>
        </w:rPr>
        <w:t>arloko</w:t>
      </w:r>
      <w:proofErr w:type="spellEnd"/>
      <w:r w:rsidRPr="00FA6F59">
        <w:rPr>
          <w:rFonts w:ascii="GalanoGrotesqueAlt-Light" w:eastAsia="Lucida Sans Unicode" w:hAnsi="GalanoGrotesqueAlt-Light" w:cs="Lucida Sans Unicode"/>
          <w:b/>
          <w:bCs/>
          <w:spacing w:val="-10"/>
          <w:kern w:val="0"/>
          <w:sz w:val="32"/>
          <w:szCs w:val="22"/>
          <w14:ligatures w14:val="none"/>
        </w:rPr>
        <w:t xml:space="preserve"> </w:t>
      </w:r>
      <w:proofErr w:type="spellStart"/>
      <w:r w:rsidRPr="00FA6F59">
        <w:rPr>
          <w:rFonts w:ascii="GalanoGrotesqueAlt-Light" w:eastAsia="Lucida Sans Unicode" w:hAnsi="GalanoGrotesqueAlt-Light" w:cs="Lucida Sans Unicode"/>
          <w:b/>
          <w:bCs/>
          <w:spacing w:val="-10"/>
          <w:kern w:val="0"/>
          <w:sz w:val="32"/>
          <w:szCs w:val="22"/>
          <w14:ligatures w14:val="none"/>
        </w:rPr>
        <w:t>prestakuntza</w:t>
      </w:r>
      <w:proofErr w:type="spellEnd"/>
      <w:r w:rsidRPr="00FA6F59">
        <w:rPr>
          <w:rFonts w:ascii="GalanoGrotesqueAlt-Light" w:eastAsia="Lucida Sans Unicode" w:hAnsi="GalanoGrotesqueAlt-Light" w:cs="Lucida Sans Unicode"/>
          <w:b/>
          <w:bCs/>
          <w:spacing w:val="-10"/>
          <w:kern w:val="0"/>
          <w:sz w:val="32"/>
          <w:szCs w:val="22"/>
          <w14:ligatures w14:val="none"/>
        </w:rPr>
        <w:t xml:space="preserve"> </w:t>
      </w:r>
      <w:proofErr w:type="spellStart"/>
      <w:r w:rsidRPr="00FA6F59">
        <w:rPr>
          <w:rFonts w:ascii="GalanoGrotesqueAlt-Light" w:eastAsia="Lucida Sans Unicode" w:hAnsi="GalanoGrotesqueAlt-Light" w:cs="Lucida Sans Unicode"/>
          <w:b/>
          <w:bCs/>
          <w:spacing w:val="-10"/>
          <w:kern w:val="0"/>
          <w:sz w:val="32"/>
          <w:szCs w:val="22"/>
          <w14:ligatures w14:val="none"/>
        </w:rPr>
        <w:t>espezializatuko</w:t>
      </w:r>
      <w:proofErr w:type="spellEnd"/>
      <w:r w:rsidRPr="00FA6F59">
        <w:rPr>
          <w:rFonts w:ascii="GalanoGrotesqueAlt-Light" w:eastAsia="Lucida Sans Unicode" w:hAnsi="GalanoGrotesqueAlt-Light" w:cs="Lucida Sans Unicode"/>
          <w:b/>
          <w:bCs/>
          <w:spacing w:val="-10"/>
          <w:kern w:val="0"/>
          <w:sz w:val="32"/>
          <w:szCs w:val="22"/>
          <w14:ligatures w14:val="none"/>
        </w:rPr>
        <w:t xml:space="preserve"> </w:t>
      </w:r>
      <w:proofErr w:type="spellStart"/>
      <w:r w:rsidRPr="00FA6F59">
        <w:rPr>
          <w:rFonts w:ascii="GalanoGrotesqueAlt-Light" w:eastAsia="Lucida Sans Unicode" w:hAnsi="GalanoGrotesqueAlt-Light" w:cs="Lucida Sans Unicode"/>
          <w:b/>
          <w:bCs/>
          <w:spacing w:val="-10"/>
          <w:kern w:val="0"/>
          <w:sz w:val="32"/>
          <w:szCs w:val="22"/>
          <w14:ligatures w14:val="none"/>
        </w:rPr>
        <w:t>zerbitzu</w:t>
      </w:r>
      <w:proofErr w:type="spellEnd"/>
      <w:r w:rsidR="00FA6F59" w:rsidRPr="00FA6F59">
        <w:rPr>
          <w:rFonts w:ascii="GalanoGrotesqueAlt-Light" w:eastAsia="Lucida Sans Unicode" w:hAnsi="GalanoGrotesqueAlt-Light" w:cs="Lucida Sans Unicode"/>
          <w:b/>
          <w:bCs/>
          <w:spacing w:val="-10"/>
          <w:kern w:val="0"/>
          <w:sz w:val="32"/>
          <w:szCs w:val="22"/>
          <w14:ligatures w14:val="none"/>
        </w:rPr>
        <w:t xml:space="preserve"> </w:t>
      </w:r>
      <w:proofErr w:type="spellStart"/>
      <w:r w:rsidRPr="00FA6F59">
        <w:rPr>
          <w:rFonts w:ascii="GalanoGrotesqueAlt-Light" w:eastAsia="Lucida Sans Unicode" w:hAnsi="GalanoGrotesqueAlt-Light" w:cs="Lucida Sans Unicode"/>
          <w:b/>
          <w:bCs/>
          <w:spacing w:val="-10"/>
          <w:kern w:val="0"/>
          <w:sz w:val="32"/>
          <w:szCs w:val="22"/>
          <w14:ligatures w14:val="none"/>
        </w:rPr>
        <w:t>aurreratua</w:t>
      </w:r>
      <w:proofErr w:type="spellEnd"/>
    </w:p>
    <w:p w14:paraId="428E96AB"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center"/>
        <w:rPr>
          <w:rFonts w:ascii="GalanoGrotesqueAlt-Light" w:eastAsia="Lucida Sans Unicode" w:hAnsi="GalanoGrotesqueAlt-Light" w:cs="Lucida Sans Unicode"/>
          <w:b/>
          <w:bCs/>
          <w:w w:val="105"/>
          <w:kern w:val="0"/>
          <w:sz w:val="32"/>
          <w:szCs w:val="22"/>
          <w14:ligatures w14:val="none"/>
        </w:rPr>
      </w:pPr>
    </w:p>
    <w:p w14:paraId="4BF5D628" w14:textId="3CB68E84" w:rsidR="00F418C8" w:rsidRDefault="00F418C8" w:rsidP="00F418C8">
      <w:pPr>
        <w:pStyle w:val="Prrafodelista"/>
        <w:widowControl w:val="0"/>
        <w:numPr>
          <w:ilvl w:val="0"/>
          <w:numId w:val="2"/>
        </w:numPr>
        <w:tabs>
          <w:tab w:val="left" w:pos="1518"/>
        </w:tabs>
        <w:autoSpaceDE w:val="0"/>
        <w:autoSpaceDN w:val="0"/>
        <w:spacing w:after="0" w:line="240" w:lineRule="auto"/>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Aurrekariak eta xedea</w:t>
      </w:r>
    </w:p>
    <w:p w14:paraId="551C60B3" w14:textId="77777777" w:rsidR="00F418C8" w:rsidRPr="00F418C8" w:rsidRDefault="00F418C8" w:rsidP="00F418C8">
      <w:pPr>
        <w:pStyle w:val="Prrafodelista"/>
        <w:widowControl w:val="0"/>
        <w:tabs>
          <w:tab w:val="left" w:pos="1518"/>
        </w:tabs>
        <w:autoSpaceDE w:val="0"/>
        <w:autoSpaceDN w:val="0"/>
        <w:spacing w:after="0" w:line="240" w:lineRule="auto"/>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509C9DD5" w14:textId="77777777" w:rsid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BDCCk adimen artifizialeko prestakuntza espezializatuko zerbitzu aurreratu bat sustatzen du, kultura- eta sormen-sektoreko profesionalei, enpresei eta eragileei zuzendua. Jarduketaren helburua da AAren erabilera praktikoa kultura- eta sormen-industrien benetako premietara hurbiltzea, ikuspegi orokorrak saihestuz, eta sektorearen testuingurura egokitutako aplikazioa sustatuz.</w:t>
      </w:r>
    </w:p>
    <w:p w14:paraId="094314FB" w14:textId="613C2568" w:rsidR="00F418C8" w:rsidRDefault="00F418C8" w:rsidP="00F418C8">
      <w:pPr>
        <w:pStyle w:val="Textoindependiente"/>
        <w:spacing w:line="242" w:lineRule="auto"/>
        <w:ind w:left="102" w:right="112"/>
        <w:mirrorIndents/>
        <w:jc w:val="both"/>
        <w:rPr>
          <w:rFonts w:ascii="GalanoGrotesqueAlt-Light" w:hAnsi="GalanoGrotesqueAlt-Light"/>
          <w:w w:val="105"/>
        </w:rPr>
      </w:pPr>
      <w:r>
        <w:rPr>
          <w:rFonts w:ascii="GalanoGrotesqueAlt-Light" w:hAnsi="GalanoGrotesqueAlt-Light"/>
        </w:rPr>
        <w:t>Prestakuntza aplikatua eta parte-hartzailea izango da eta honako hauek uztartuko ditu: oinarriak, tresnak, erabilera-kasuak eta gai etikoak, juridikoak eta jabetza intelektualari buruzkoak. 2027an, 40 irakastorduko prestakuntza-bloke bakarra egingo da.</w:t>
      </w:r>
    </w:p>
    <w:p w14:paraId="3DE8D993"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p>
    <w:p w14:paraId="6D889FE5"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2. Zerbitzuaren xedea</w:t>
      </w:r>
    </w:p>
    <w:p w14:paraId="457C717B"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2D6B15AB" w14:textId="77777777" w:rsid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Adimen artifizialeko prestakuntza espezializatuko 40 irakastorduko bloke bakarra diseinatzea, garatzea eta ematea, ikasleek haren aukerak ulertu, tresnak eta teknologiak ezagutu, kultura- eta sormen-sektoreko aplikazioak aztertu eta beren lanbide-errealitatera egokitutako kasuak, ariketak eta dinamikak praktikan landu ahal izan ditzaten.</w:t>
      </w:r>
    </w:p>
    <w:p w14:paraId="0E6BC2FE"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p>
    <w:p w14:paraId="002B162B"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3. Erakunde hartzaileak eta zerbitzuaren dimentsioa</w:t>
      </w:r>
    </w:p>
    <w:p w14:paraId="59E64953"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0FFE2952" w14:textId="160D48CD"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Pr>
          <w:rFonts w:ascii="GalanoGrotesqueAlt-Light" w:hAnsi="GalanoGrotesqueAlt-Light"/>
        </w:rPr>
        <w:t>Kultura- eta sormen-sektoreekin lotutako profesionalak, enpresak eta eragileak. Zerbitzuak 40 irakastorduko prestakuntza-bloke bakarra hartuko du barne. Blokea 2027an egingo da, aurrez aurre, online edo modu hibridoan, esleitutako proposamenaren eta BDCCrekin egindako koordinazioaren arabera.</w:t>
      </w:r>
    </w:p>
    <w:p w14:paraId="48431763" w14:textId="09292744" w:rsidR="00F418C8" w:rsidRDefault="00F418C8" w:rsidP="00B4108D">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Guztizko bolumena: 40 irakastordu. Aurreikusitako banaketa: 1 prestakuntza-bloke x 40 ordu. Gauzatzeko epea: 2027/12/31ra arte.</w:t>
      </w:r>
    </w:p>
    <w:p w14:paraId="02743F1D" w14:textId="77777777" w:rsidR="00B4108D" w:rsidRPr="00F418C8" w:rsidRDefault="00B4108D" w:rsidP="00B4108D">
      <w:pPr>
        <w:pStyle w:val="Textoindependiente"/>
        <w:spacing w:line="242" w:lineRule="auto"/>
        <w:ind w:left="102" w:right="112"/>
        <w:mirrorIndents/>
        <w:jc w:val="both"/>
        <w:rPr>
          <w:rFonts w:ascii="GalanoGrotesqueAlt-Light" w:hAnsi="GalanoGrotesqueAlt-Light"/>
          <w:w w:val="105"/>
        </w:rPr>
      </w:pPr>
    </w:p>
    <w:p w14:paraId="71C2F3CB"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4. Gutxieneko irismena eta lan-metodologia</w:t>
      </w:r>
    </w:p>
    <w:p w14:paraId="5BA2F479"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5F0FA323"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Erakunde esleipendunak beregain hartuko ditu osoko diseinu pedagogikoa, edukien garapena, prestakuntza ematea, koordinazio akademikoa, ikasleen jarraipena, material didaktiko digitalak prestatzea eta ikaskuntza ebaluatzea.</w:t>
      </w:r>
    </w:p>
    <w:p w14:paraId="75F2613C"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Prestazioak, gutxienez, osagai hauek bermatu beharko ditu:</w:t>
      </w:r>
    </w:p>
    <w:p w14:paraId="6E892DBC" w14:textId="0A50D08E"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Prestakuntza-programaren osoko diseinu pedagogikoa, helburu, egitura, sekuentzia eta denbora-banaketa koherenteekin.</w:t>
      </w:r>
    </w:p>
    <w:p w14:paraId="1FAC77B7" w14:textId="1CB5A862"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Kultura- eta sormen-sektorera berariaz egokitutako edukien garapena.</w:t>
      </w:r>
    </w:p>
    <w:p w14:paraId="3679690B" w14:textId="5F586C96"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Aurreikusitako prestakuntza-blokea irakasle espezializatuek ematea.</w:t>
      </w:r>
    </w:p>
    <w:p w14:paraId="6ABFA25C" w14:textId="6DC95BF6"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Prestakuntza-blokean zehar koordinazio akademikoa eta ikasleen jarraipen egokia egitea.</w:t>
      </w:r>
    </w:p>
    <w:p w14:paraId="54C49BAE" w14:textId="2269B965"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Ikasmaterial digitalak eta baliabide osagarriak prestatzea eta ematea.</w:t>
      </w:r>
    </w:p>
    <w:p w14:paraId="15955082" w14:textId="2F6BA3B8"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Ikaskuntza ebaluatzea eta, hala badagokio, aprobetxamendu-ziurtagiriak ematea.</w:t>
      </w:r>
    </w:p>
    <w:p w14:paraId="1C3E4D17" w14:textId="77777777" w:rsidR="00F418C8" w:rsidRPr="00F418C8" w:rsidRDefault="00F418C8" w:rsidP="00F418C8">
      <w:pPr>
        <w:pStyle w:val="Textoindependiente"/>
        <w:spacing w:line="242" w:lineRule="auto"/>
        <w:ind w:left="462" w:right="112"/>
        <w:mirrorIndents/>
        <w:jc w:val="both"/>
        <w:rPr>
          <w:rFonts w:ascii="GalanoGrotesqueAlt-Light" w:hAnsi="GalanoGrotesqueAlt-Light"/>
          <w:w w:val="105"/>
        </w:rPr>
      </w:pPr>
      <w:r w:rsidRPr="00F418C8">
        <w:rPr>
          <w:rFonts w:ascii="GalanoGrotesqueAlt-Light" w:hAnsi="GalanoGrotesqueAlt-Light"/>
        </w:rPr>
        <w:t>Modalitatea aurrez aurrekoa, onlinekoa edo hibridoa izan ahal izango da, eta prestakuntza-esperientzia eraginkorra bermatu beharko da betiere.</w:t>
      </w:r>
    </w:p>
    <w:p w14:paraId="1D20383C" w14:textId="43F29936"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lastRenderedPageBreak/>
        <w:t>Irakasleen eta ikasleen arteko elkarrekintza eraginkorra.</w:t>
      </w:r>
    </w:p>
    <w:p w14:paraId="781A1735" w14:textId="26E0FFD8"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Parte-hartze aktiborako, lan praktikorako eta zalantzak argitzeko guneak.</w:t>
      </w:r>
    </w:p>
    <w:p w14:paraId="1BF93C0D" w14:textId="12B8EEC8"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Ikasleen ikaskuntzaren eta aurrerapenaren jarraipen egokia.</w:t>
      </w:r>
    </w:p>
    <w:p w14:paraId="43817280" w14:textId="1E7E8772"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Programa moduluka egituratzea, horrek edukien ulermena, aurrerapena eta aplikagarritasuna hobetzen laguntzen duenean.</w:t>
      </w:r>
    </w:p>
    <w:p w14:paraId="58125FAE" w14:textId="77777777" w:rsidR="00F418C8" w:rsidRPr="00F418C8" w:rsidRDefault="00F418C8" w:rsidP="00F418C8">
      <w:pPr>
        <w:pStyle w:val="Textoindependiente"/>
        <w:spacing w:line="242" w:lineRule="auto"/>
        <w:ind w:left="462" w:right="112"/>
        <w:mirrorIndents/>
        <w:jc w:val="both"/>
        <w:rPr>
          <w:rFonts w:ascii="GalanoGrotesqueAlt-Light" w:hAnsi="GalanoGrotesqueAlt-Light"/>
          <w:w w:val="105"/>
        </w:rPr>
      </w:pPr>
      <w:r w:rsidRPr="00F418C8">
        <w:rPr>
          <w:rFonts w:ascii="GalanoGrotesqueAlt-Light" w:hAnsi="GalanoGrotesqueAlt-Light"/>
        </w:rPr>
        <w:t>Metodologia aktiboa, parte-hartzailea eta ikaskuntza praktikora bideratua izan beharko da, eta ezagutza teknologikoaren maila desberdinetara egokitu beharko da.</w:t>
      </w:r>
    </w:p>
    <w:p w14:paraId="53ED857B" w14:textId="7620B313"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Kultura- eta sormen-sektoreari aplikatutako ariketa praktikoak.</w:t>
      </w:r>
    </w:p>
    <w:p w14:paraId="5A268F68" w14:textId="371C28C0"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Adimen artifizialeko tresnen eta teknologien erakustaldiak.</w:t>
      </w:r>
    </w:p>
    <w:p w14:paraId="14586CD0" w14:textId="0DC77A4C"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Kasu errealen eta aplikazio profesionaleko egoeren azterketa.</w:t>
      </w:r>
    </w:p>
    <w:p w14:paraId="1F532DD9" w14:textId="5FC39C61" w:rsidR="00F418C8" w:rsidRP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Edukiak testuinguru errealetara eramatea ahalbidetzen duten proiektuak, erronkak edo dinamika aplikatuak garatzea.</w:t>
      </w:r>
    </w:p>
    <w:p w14:paraId="55129FD8" w14:textId="0813AECA" w:rsidR="00F418C8" w:rsidRDefault="00F418C8" w:rsidP="00F418C8">
      <w:pPr>
        <w:pStyle w:val="Textoindependiente"/>
        <w:numPr>
          <w:ilvl w:val="0"/>
          <w:numId w:val="1"/>
        </w:numPr>
        <w:spacing w:line="242" w:lineRule="auto"/>
        <w:ind w:right="112"/>
        <w:mirrorIndents/>
        <w:jc w:val="both"/>
        <w:rPr>
          <w:rFonts w:ascii="GalanoGrotesqueAlt-Light" w:hAnsi="GalanoGrotesqueAlt-Light"/>
          <w:w w:val="105"/>
        </w:rPr>
      </w:pPr>
      <w:r w:rsidRPr="00F418C8">
        <w:rPr>
          <w:rFonts w:ascii="GalanoGrotesqueAlt-Light" w:hAnsi="GalanoGrotesqueAlt-Light"/>
        </w:rPr>
        <w:t>Sakontasuna, adibideak eta erritmoa ikasleek teknologiaren arloan dituzten ezagutza-maila desberdinetara egokitzea.</w:t>
      </w:r>
    </w:p>
    <w:p w14:paraId="60926F6E" w14:textId="77777777" w:rsidR="00F418C8" w:rsidRPr="00F418C8" w:rsidRDefault="00F418C8" w:rsidP="00B4108D">
      <w:pPr>
        <w:pStyle w:val="Textoindependiente"/>
        <w:spacing w:line="242" w:lineRule="auto"/>
        <w:ind w:left="462" w:right="112"/>
        <w:mirrorIndents/>
        <w:jc w:val="both"/>
        <w:rPr>
          <w:rFonts w:ascii="GalanoGrotesqueAlt-Light" w:hAnsi="GalanoGrotesqueAlt-Light"/>
          <w:w w:val="105"/>
        </w:rPr>
      </w:pPr>
    </w:p>
    <w:p w14:paraId="468AFC48"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5. Zerbitzuaren eduki espezifikoak</w:t>
      </w:r>
    </w:p>
    <w:p w14:paraId="6E483330"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5CFD35B0"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Prestakuntza-proposamenak gutxienez gai-bloke hauek garatu beharko ditu:</w:t>
      </w:r>
    </w:p>
    <w:p w14:paraId="7901917A"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Adimen Artifizialari buruzko sarrera: oinarrizko kontzeptuak, aukerak eta irismena, bai eta tartean diren teknologien oinarrizko ulermena ere.</w:t>
      </w:r>
    </w:p>
    <w:p w14:paraId="4C36EEC7"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AAren aplikazioak kultura- eta sormen-sektorean: KSIen lanbide-jarduerari lotutako erabilera-kasuak, adibideak eta abaguneak.</w:t>
      </w:r>
    </w:p>
    <w:p w14:paraId="72733310"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Tresnak eta teknologiak: prestakuntza garatzeko garrantzitsuak diren AAko soluzioak ezagutzea, eta praktikoki erakustea.</w:t>
      </w:r>
    </w:p>
    <w:p w14:paraId="487AE6CC" w14:textId="0BFF8CA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Pr>
          <w:rFonts w:ascii="GalanoGrotesqueAlt-Light" w:hAnsi="GalanoGrotesqueAlt-Light"/>
        </w:rPr>
        <w:t>· Etikari, legeari, datuen babesari eta jabetza intelektualari buruzko alderdiak: AAren erabilera arduratsua eta haren erabilerari kultura- eta sormen-testuinguruetan eragiten dioten alderdi nagusiak.</w:t>
      </w:r>
    </w:p>
    <w:p w14:paraId="2DF4EEDC" w14:textId="77777777" w:rsid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Eduki, adibide, ariketa eta kasu praktiko guztiak berariaz kokatu beharko dira kultura- eta sormen-esparruan, eta eguneratze teknologikoaren maila egokiari eutsi beharko diote.</w:t>
      </w:r>
    </w:p>
    <w:p w14:paraId="5DD3EE78"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p>
    <w:p w14:paraId="287C4417"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6. Gutxieneko entregagaiak</w:t>
      </w:r>
    </w:p>
    <w:p w14:paraId="5A5F96DE"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424CFBD9"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Erakunde esleipendunak, gutxienez, prestakuntza-blokea behar bezala prestatzeko, garatzeko eta egiaztatzeko beharrezko dokumentazioa sortu eta entregatu beharko du. Honako hauek hartzen dira gutxieneko entregagaitzat:</w:t>
      </w:r>
    </w:p>
    <w:p w14:paraId="1E669757"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Behin betiko prestakuntza-programa eta diseinu pedagogikoa, honako hauek adierazita: helburuak, egitura, edukiak eta denbora-banaketa.</w:t>
      </w:r>
    </w:p>
    <w:p w14:paraId="60C8A079"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Prestakuntza ematean erabilitako aurkezpenak eta materialak.</w:t>
      </w:r>
    </w:p>
    <w:p w14:paraId="0BC120D2"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Ikasleentzako gidak, eskuliburuak edo laguntza-dokumentuak eta baliabide osagarriak.</w:t>
      </w:r>
    </w:p>
    <w:p w14:paraId="0B14CA1F"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Prestakuntzan gauzatutako ariketak, kasuak, erakustaldiak edo dinamika praktikoak.</w:t>
      </w:r>
    </w:p>
    <w:p w14:paraId="379AB2B9"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Jarraipen akademikoaren erregistroa eta, hala badagokio, bertaratzearen edo parte-hartzearen kontrola.</w:t>
      </w:r>
    </w:p>
    <w:p w14:paraId="44C7242B"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Proposatutako metodologiaren araberako ikaskuntzaren ebaluazio-ebidentziak.</w:t>
      </w:r>
    </w:p>
    <w:p w14:paraId="26C371F8"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Aprobetxamendu-ziurtagiriak, BDCCrekin adostutako ebaluazio-ereduaren parte direnean.</w:t>
      </w:r>
    </w:p>
    <w:p w14:paraId="32F80399" w14:textId="77777777" w:rsid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Prestakuntza-blokearen amaierako txostena eta zerbitzuaren gauzatze-memoria, garapena, parte-hartzea, emaitzak, gorabeherak eta hobetzeko gomendioak barne.</w:t>
      </w:r>
    </w:p>
    <w:p w14:paraId="5D433A60"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p>
    <w:p w14:paraId="6FAEC983"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7. Antolaketa, koordinazioa eta jarraipena</w:t>
      </w:r>
    </w:p>
    <w:p w14:paraId="204F6335"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1F75AAFE"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BDCCrekin hasierako bilera operatiboa egitea, honako hauek baliozkotzeko: egutegia, modalitatea, diseinu pedagogikoa, edukiak, tresnak eta jarraipen-irizpideak.</w:t>
      </w:r>
    </w:p>
    <w:p w14:paraId="002D8441"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xml:space="preserve">· Programaren behin betiko egitura eta material nagusiak aldez aurretik BDCCrekin </w:t>
      </w:r>
      <w:r w:rsidRPr="00F418C8">
        <w:rPr>
          <w:rFonts w:ascii="GalanoGrotesqueAlt-Light" w:hAnsi="GalanoGrotesqueAlt-Light"/>
        </w:rPr>
        <w:lastRenderedPageBreak/>
        <w:t>baliozkotzea.</w:t>
      </w:r>
    </w:p>
    <w:p w14:paraId="6D376B02"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Prestakuntza emateko logistika eta sarbiderako, komunikaziorako eta ikasleei laguntza emateko mekanismoak koordinatzea.</w:t>
      </w:r>
    </w:p>
    <w:p w14:paraId="02110AD1"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Prestakuntza-blokea garatzea, jarraipen akademikoarekin eta 40 eskola-orduen zein egindako jarduketen behar besteko erregistroarekin.</w:t>
      </w:r>
    </w:p>
    <w:p w14:paraId="62D8A2C1" w14:textId="77777777" w:rsid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BDCCrekin itxiera egiteko eta emaitzak transferitzeko azken bilera, zerbitzuaren memoria bateratuarekin batera.</w:t>
      </w:r>
    </w:p>
    <w:p w14:paraId="21FF839A"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p>
    <w:p w14:paraId="2BE8B41D"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8. Irakasle-taldea</w:t>
      </w:r>
    </w:p>
    <w:p w14:paraId="5B72603F"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19527988"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Adimen Artifizialaren arloan egiaztatutako esperientzia, eta tresna eta teknologia garrantzitsuei buruzko ezagutza eguneratua.</w:t>
      </w:r>
    </w:p>
    <w:p w14:paraId="0C0D0457"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AA kultura- eta sormen-sektorean edo sektore horren beharrei zuzenean lotutako proiektuetan aplikatzearekin lotutako esperientzia.</w:t>
      </w:r>
    </w:p>
    <w:p w14:paraId="6A6C3E57"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Irakaskuntzan, lanbide-heziketan, gaikuntzan edo ikaskuntza-prozesuen dinamizazioan aurretik izandako esperientzia.</w:t>
      </w:r>
    </w:p>
    <w:p w14:paraId="55A08D69" w14:textId="3FE29301"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Bereziki baloratuko da profil teknologikoak lurraldeko kultura- eta sormen-ekosistema ezagutzen duten profilekin uztartzea.</w:t>
      </w:r>
    </w:p>
    <w:p w14:paraId="0B5DCE03" w14:textId="77777777" w:rsid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Metodologia eta edukien sakontasuna ezagutza teknologikoaren maila desberdinetara egokitzeko gaitasuna.</w:t>
      </w:r>
    </w:p>
    <w:p w14:paraId="03584966" w14:textId="77777777" w:rsidR="00030E9D" w:rsidRPr="00F418C8" w:rsidRDefault="00030E9D" w:rsidP="00F418C8">
      <w:pPr>
        <w:pStyle w:val="Textoindependiente"/>
        <w:spacing w:line="242" w:lineRule="auto"/>
        <w:ind w:left="102" w:right="112"/>
        <w:mirrorIndents/>
        <w:jc w:val="both"/>
        <w:rPr>
          <w:rFonts w:ascii="GalanoGrotesqueAlt-Light" w:hAnsi="GalanoGrotesqueAlt-Light"/>
          <w:w w:val="105"/>
        </w:rPr>
      </w:pPr>
    </w:p>
    <w:p w14:paraId="28B50CE7"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9. Prestakuntza emateko hizkuntza</w:t>
      </w:r>
    </w:p>
    <w:p w14:paraId="0B99A7C4"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44BCBC28"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Prestakuntza gaztelaniaz emango da. Ikasmaterialek eta ikasleei zuzendutako baliabideek hizkuntza horretan eskuragarri egon beharko dute.</w:t>
      </w:r>
    </w:p>
    <w:p w14:paraId="178B13E4"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10. Konfidentzialtasuna eta informazioaren tratamendua</w:t>
      </w:r>
    </w:p>
    <w:p w14:paraId="4D86BEA2" w14:textId="77777777" w:rsid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Erakunde esleipendunak isilpean tratatu beharko du prestazioa ematean BDCCren eta parte hartzen duten pertsona edo erakundeen gainean eskuratu dezakeen  informazioa. Informazioa kontratua egikaritzeko soilik erabili ahal izango da, eta datuen babesaren arloan aplikatzekoa den araudiaren eta BDCCren jarraibideen arabera kudeatu beharko da.</w:t>
      </w:r>
    </w:p>
    <w:p w14:paraId="3902D570" w14:textId="77777777" w:rsidR="00B4108D" w:rsidRPr="00F418C8" w:rsidRDefault="00B4108D" w:rsidP="00F418C8">
      <w:pPr>
        <w:pStyle w:val="Textoindependiente"/>
        <w:spacing w:line="242" w:lineRule="auto"/>
        <w:ind w:left="102" w:right="112"/>
        <w:mirrorIndents/>
        <w:jc w:val="both"/>
        <w:rPr>
          <w:rFonts w:ascii="GalanoGrotesqueAlt-Light" w:hAnsi="GalanoGrotesqueAlt-Light"/>
          <w:w w:val="105"/>
        </w:rPr>
      </w:pPr>
    </w:p>
    <w:p w14:paraId="454C3E85"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11. Behar bezala egikaritzeko eta onartzeko irizpideak</w:t>
      </w:r>
    </w:p>
    <w:p w14:paraId="0C0F284D"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19073CDA"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Guztira 40 irakastorduko iraupena duen aurreikusitako prestakuntza-blokea diseinatzea, garatzea eta benetan ematea.</w:t>
      </w:r>
    </w:p>
    <w:p w14:paraId="45B62414"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Edukiak, adibideak eta kasuak kultura- eta sormen-sektorera benetan egokitzea.</w:t>
      </w:r>
    </w:p>
    <w:p w14:paraId="7792E589"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Ikaskuntza praktikora bideratutako metodologia aktiboa eta parte-hartzailea aplikatzea.</w:t>
      </w:r>
    </w:p>
    <w:p w14:paraId="597CA38B"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Ikasmaterial digitalak entregatzea, eta prestakuntzak dirauen bitartean, beharrezko tresnak edo plataformak eskuragarri egotea.</w:t>
      </w:r>
    </w:p>
    <w:p w14:paraId="1D9ADF32" w14:textId="77777777" w:rsid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 Ikaskuntzaren jarraipena eta ebaluazioa egitea, eta aurreikusitako amaierako dokumentazioa entregatzea.</w:t>
      </w:r>
    </w:p>
    <w:p w14:paraId="76D5C31B" w14:textId="77777777" w:rsidR="00064E12" w:rsidRDefault="00064E12" w:rsidP="00F418C8">
      <w:pPr>
        <w:pStyle w:val="Textoindependiente"/>
        <w:spacing w:line="242" w:lineRule="auto"/>
        <w:ind w:left="102" w:right="112"/>
        <w:mirrorIndents/>
        <w:jc w:val="both"/>
        <w:rPr>
          <w:rFonts w:ascii="GalanoGrotesqueAlt-Light" w:hAnsi="GalanoGrotesqueAlt-Light"/>
          <w:w w:val="105"/>
        </w:rPr>
      </w:pPr>
    </w:p>
    <w:p w14:paraId="13160460" w14:textId="77777777" w:rsidR="00064E12" w:rsidRDefault="00064E12" w:rsidP="00F418C8">
      <w:pPr>
        <w:pStyle w:val="Textoindependiente"/>
        <w:spacing w:line="242" w:lineRule="auto"/>
        <w:ind w:left="102" w:right="112"/>
        <w:mirrorIndents/>
        <w:jc w:val="both"/>
        <w:rPr>
          <w:rFonts w:ascii="GalanoGrotesqueAlt-Light" w:hAnsi="GalanoGrotesqueAlt-Light"/>
          <w:w w:val="105"/>
        </w:rPr>
      </w:pPr>
    </w:p>
    <w:p w14:paraId="136D8E87"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p>
    <w:p w14:paraId="59713084" w14:textId="77777777" w:rsid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r w:rsidRPr="00F418C8">
        <w:rPr>
          <w:rFonts w:ascii="GalanoGrotesqueAlt-Light" w:eastAsia="Lucida Sans Unicode" w:hAnsi="GalanoGrotesqueAlt-Light" w:cs="Lucida Sans Unicode"/>
          <w:b/>
          <w:bCs/>
          <w:kern w:val="0"/>
          <w:sz w:val="32"/>
          <w:szCs w:val="22"/>
          <w14:ligatures w14:val="none"/>
        </w:rPr>
        <w:t>12. Baloratu daitezkeen hobekuntzak</w:t>
      </w:r>
    </w:p>
    <w:p w14:paraId="4E39E361" w14:textId="77777777" w:rsidR="00F418C8" w:rsidRPr="00F418C8" w:rsidRDefault="00F418C8" w:rsidP="00F418C8">
      <w:pPr>
        <w:pStyle w:val="Prrafodelista"/>
        <w:widowControl w:val="0"/>
        <w:tabs>
          <w:tab w:val="left" w:pos="1518"/>
        </w:tabs>
        <w:autoSpaceDE w:val="0"/>
        <w:autoSpaceDN w:val="0"/>
        <w:spacing w:after="0" w:line="240" w:lineRule="auto"/>
        <w:ind w:hanging="360"/>
        <w:contextualSpacing w:val="0"/>
        <w:mirrorIndents/>
        <w:jc w:val="both"/>
        <w:rPr>
          <w:rFonts w:ascii="GalanoGrotesqueAlt-Light" w:eastAsia="Lucida Sans Unicode" w:hAnsi="GalanoGrotesqueAlt-Light" w:cs="Lucida Sans Unicode"/>
          <w:b/>
          <w:bCs/>
          <w:w w:val="105"/>
          <w:kern w:val="0"/>
          <w:sz w:val="32"/>
          <w:szCs w:val="22"/>
          <w14:ligatures w14:val="none"/>
        </w:rPr>
      </w:pPr>
    </w:p>
    <w:p w14:paraId="665F305C" w14:textId="77777777" w:rsidR="00F418C8" w:rsidRPr="00F418C8" w:rsidRDefault="00F418C8" w:rsidP="00F418C8">
      <w:pPr>
        <w:pStyle w:val="Textoindependiente"/>
        <w:spacing w:line="242" w:lineRule="auto"/>
        <w:ind w:left="102" w:right="112"/>
        <w:mirrorIndents/>
        <w:jc w:val="both"/>
        <w:rPr>
          <w:rFonts w:ascii="GalanoGrotesqueAlt-Light" w:hAnsi="GalanoGrotesqueAlt-Light"/>
          <w:w w:val="105"/>
        </w:rPr>
      </w:pPr>
      <w:r w:rsidRPr="00F418C8">
        <w:rPr>
          <w:rFonts w:ascii="GalanoGrotesqueAlt-Light" w:hAnsi="GalanoGrotesqueAlt-Light"/>
        </w:rPr>
        <w:t>Kontratuaren xedea edo gutxieneko irismena aldatu gabe, hobekuntzak proposatu ahal izango dira modulu-egituran, baliabide didaktikoetan, tresnetan, ariketa praktikoetan, sektoreko kasuetan, jarraipen-mekanismoetan edo laguntza-materialetan; betiere, prestakuntzaren erabilgarritasuna, eguneratze teknologikoa eta kultura- eta sormen-sektorerako transferentzia praktikoa areagotzen badituzte.</w:t>
      </w:r>
    </w:p>
    <w:p w14:paraId="79114A33" w14:textId="77777777" w:rsidR="004572D3" w:rsidRPr="00F418C8" w:rsidRDefault="004572D3" w:rsidP="00F418C8">
      <w:pPr>
        <w:pStyle w:val="Textoindependiente"/>
        <w:spacing w:line="242" w:lineRule="auto"/>
        <w:ind w:left="102" w:right="112"/>
        <w:mirrorIndents/>
        <w:jc w:val="both"/>
        <w:rPr>
          <w:rFonts w:ascii="GalanoGrotesqueAlt-Light" w:hAnsi="GalanoGrotesqueAlt-Light"/>
          <w:w w:val="105"/>
        </w:rPr>
      </w:pPr>
    </w:p>
    <w:sectPr w:rsidR="004572D3" w:rsidRPr="00F418C8">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4F8D4" w14:textId="77777777" w:rsidR="00417220" w:rsidRDefault="00417220" w:rsidP="00F418C8">
      <w:pPr>
        <w:spacing w:after="0" w:line="240" w:lineRule="auto"/>
      </w:pPr>
      <w:r>
        <w:separator/>
      </w:r>
    </w:p>
  </w:endnote>
  <w:endnote w:type="continuationSeparator" w:id="0">
    <w:p w14:paraId="7EAA8836" w14:textId="77777777" w:rsidR="00417220" w:rsidRDefault="00417220" w:rsidP="00F41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lanoGrotesqueAlt-Light">
    <w:altName w:val="Times New Roman"/>
    <w:charset w:val="00"/>
    <w:family w:val="auto"/>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FE7FE" w14:textId="77777777" w:rsidR="00417220" w:rsidRDefault="00417220" w:rsidP="00F418C8">
      <w:pPr>
        <w:spacing w:after="0" w:line="240" w:lineRule="auto"/>
      </w:pPr>
      <w:r>
        <w:separator/>
      </w:r>
    </w:p>
  </w:footnote>
  <w:footnote w:type="continuationSeparator" w:id="0">
    <w:p w14:paraId="11833884" w14:textId="77777777" w:rsidR="00417220" w:rsidRDefault="00417220" w:rsidP="00F41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960B" w14:textId="433951B5" w:rsidR="00F418C8" w:rsidRDefault="00F418C8">
    <w:pPr>
      <w:pStyle w:val="Encabezado"/>
    </w:pPr>
    <w:r>
      <w:rPr>
        <w:noProof/>
        <w:lang w:val="es-ES_tradnl" w:eastAsia="es-ES_tradnl"/>
      </w:rPr>
      <w:drawing>
        <wp:anchor distT="0" distB="0" distL="0" distR="0" simplePos="0" relativeHeight="251659264" behindDoc="1" locked="0" layoutInCell="1" allowOverlap="1" wp14:anchorId="09006326" wp14:editId="6EE86CD6">
          <wp:simplePos x="0" y="0"/>
          <wp:positionH relativeFrom="page">
            <wp:posOffset>1080135</wp:posOffset>
          </wp:positionH>
          <wp:positionV relativeFrom="page">
            <wp:posOffset>448945</wp:posOffset>
          </wp:positionV>
          <wp:extent cx="1066535" cy="354304"/>
          <wp:effectExtent l="0" t="0" r="635" b="8255"/>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066535" cy="354304"/>
                  </a:xfrm>
                  <a:prstGeom prst="rect">
                    <a:avLst/>
                  </a:prstGeom>
                </pic:spPr>
              </pic:pic>
            </a:graphicData>
          </a:graphic>
        </wp:anchor>
      </w:drawing>
    </w:r>
    <w:r>
      <w:rPr>
        <w:noProof/>
        <w:lang w:val="es-ES_tradnl" w:eastAsia="es-ES_tradnl"/>
      </w:rPr>
      <w:drawing>
        <wp:anchor distT="0" distB="0" distL="0" distR="0" simplePos="0" relativeHeight="251660288" behindDoc="1" locked="0" layoutInCell="1" allowOverlap="1" wp14:anchorId="65A44B3F" wp14:editId="6AE79350">
          <wp:simplePos x="0" y="0"/>
          <wp:positionH relativeFrom="page">
            <wp:posOffset>5627370</wp:posOffset>
          </wp:positionH>
          <wp:positionV relativeFrom="page">
            <wp:posOffset>467360</wp:posOffset>
          </wp:positionV>
          <wp:extent cx="819981" cy="337639"/>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2" cstate="print"/>
                  <a:stretch>
                    <a:fillRect/>
                  </a:stretch>
                </pic:blipFill>
                <pic:spPr>
                  <a:xfrm>
                    <a:off x="0" y="0"/>
                    <a:ext cx="819981" cy="3376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C73E2"/>
    <w:multiLevelType w:val="hybridMultilevel"/>
    <w:tmpl w:val="FAC853BE"/>
    <w:lvl w:ilvl="0" w:tplc="60505054">
      <w:start w:val="2"/>
      <w:numFmt w:val="bullet"/>
      <w:lvlText w:val="-"/>
      <w:lvlJc w:val="left"/>
      <w:pPr>
        <w:ind w:left="462" w:hanging="360"/>
      </w:pPr>
      <w:rPr>
        <w:rFonts w:ascii="GalanoGrotesqueAlt-Light" w:eastAsia="Lucida Sans Unicode" w:hAnsi="GalanoGrotesqueAlt-Light" w:cs="Lucida Sans Unicode" w:hint="default"/>
      </w:rPr>
    </w:lvl>
    <w:lvl w:ilvl="1" w:tplc="0C0A0003" w:tentative="1">
      <w:start w:val="1"/>
      <w:numFmt w:val="bullet"/>
      <w:lvlText w:val="o"/>
      <w:lvlJc w:val="left"/>
      <w:pPr>
        <w:ind w:left="1182" w:hanging="360"/>
      </w:pPr>
      <w:rPr>
        <w:rFonts w:ascii="Courier New" w:hAnsi="Courier New" w:cs="Courier New" w:hint="default"/>
      </w:rPr>
    </w:lvl>
    <w:lvl w:ilvl="2" w:tplc="0C0A0005" w:tentative="1">
      <w:start w:val="1"/>
      <w:numFmt w:val="bullet"/>
      <w:lvlText w:val=""/>
      <w:lvlJc w:val="left"/>
      <w:pPr>
        <w:ind w:left="1902" w:hanging="360"/>
      </w:pPr>
      <w:rPr>
        <w:rFonts w:ascii="Wingdings" w:hAnsi="Wingdings" w:hint="default"/>
      </w:rPr>
    </w:lvl>
    <w:lvl w:ilvl="3" w:tplc="0C0A0001" w:tentative="1">
      <w:start w:val="1"/>
      <w:numFmt w:val="bullet"/>
      <w:lvlText w:val=""/>
      <w:lvlJc w:val="left"/>
      <w:pPr>
        <w:ind w:left="2622" w:hanging="360"/>
      </w:pPr>
      <w:rPr>
        <w:rFonts w:ascii="Symbol" w:hAnsi="Symbol" w:hint="default"/>
      </w:rPr>
    </w:lvl>
    <w:lvl w:ilvl="4" w:tplc="0C0A0003" w:tentative="1">
      <w:start w:val="1"/>
      <w:numFmt w:val="bullet"/>
      <w:lvlText w:val="o"/>
      <w:lvlJc w:val="left"/>
      <w:pPr>
        <w:ind w:left="3342" w:hanging="360"/>
      </w:pPr>
      <w:rPr>
        <w:rFonts w:ascii="Courier New" w:hAnsi="Courier New" w:cs="Courier New" w:hint="default"/>
      </w:rPr>
    </w:lvl>
    <w:lvl w:ilvl="5" w:tplc="0C0A0005" w:tentative="1">
      <w:start w:val="1"/>
      <w:numFmt w:val="bullet"/>
      <w:lvlText w:val=""/>
      <w:lvlJc w:val="left"/>
      <w:pPr>
        <w:ind w:left="4062" w:hanging="360"/>
      </w:pPr>
      <w:rPr>
        <w:rFonts w:ascii="Wingdings" w:hAnsi="Wingdings" w:hint="default"/>
      </w:rPr>
    </w:lvl>
    <w:lvl w:ilvl="6" w:tplc="0C0A0001" w:tentative="1">
      <w:start w:val="1"/>
      <w:numFmt w:val="bullet"/>
      <w:lvlText w:val=""/>
      <w:lvlJc w:val="left"/>
      <w:pPr>
        <w:ind w:left="4782" w:hanging="360"/>
      </w:pPr>
      <w:rPr>
        <w:rFonts w:ascii="Symbol" w:hAnsi="Symbol" w:hint="default"/>
      </w:rPr>
    </w:lvl>
    <w:lvl w:ilvl="7" w:tplc="0C0A0003" w:tentative="1">
      <w:start w:val="1"/>
      <w:numFmt w:val="bullet"/>
      <w:lvlText w:val="o"/>
      <w:lvlJc w:val="left"/>
      <w:pPr>
        <w:ind w:left="5502" w:hanging="360"/>
      </w:pPr>
      <w:rPr>
        <w:rFonts w:ascii="Courier New" w:hAnsi="Courier New" w:cs="Courier New" w:hint="default"/>
      </w:rPr>
    </w:lvl>
    <w:lvl w:ilvl="8" w:tplc="0C0A0005" w:tentative="1">
      <w:start w:val="1"/>
      <w:numFmt w:val="bullet"/>
      <w:lvlText w:val=""/>
      <w:lvlJc w:val="left"/>
      <w:pPr>
        <w:ind w:left="6222" w:hanging="360"/>
      </w:pPr>
      <w:rPr>
        <w:rFonts w:ascii="Wingdings" w:hAnsi="Wingdings" w:hint="default"/>
      </w:rPr>
    </w:lvl>
  </w:abstractNum>
  <w:abstractNum w:abstractNumId="1" w15:restartNumberingAfterBreak="0">
    <w:nsid w:val="6F53109D"/>
    <w:multiLevelType w:val="hybridMultilevel"/>
    <w:tmpl w:val="E8E40F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87070024">
    <w:abstractNumId w:val="0"/>
  </w:num>
  <w:num w:numId="2" w16cid:durableId="151067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C8"/>
    <w:rsid w:val="00030E9D"/>
    <w:rsid w:val="00064E12"/>
    <w:rsid w:val="000864FE"/>
    <w:rsid w:val="00417220"/>
    <w:rsid w:val="00447C4F"/>
    <w:rsid w:val="004572D3"/>
    <w:rsid w:val="004B35EA"/>
    <w:rsid w:val="00794AB8"/>
    <w:rsid w:val="009E5029"/>
    <w:rsid w:val="00B01D53"/>
    <w:rsid w:val="00B4108D"/>
    <w:rsid w:val="00C46CCC"/>
    <w:rsid w:val="00E07415"/>
    <w:rsid w:val="00E81D7E"/>
    <w:rsid w:val="00E92D72"/>
    <w:rsid w:val="00F418C8"/>
    <w:rsid w:val="00FA6F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B1B17"/>
  <w15:chartTrackingRefBased/>
  <w15:docId w15:val="{02FAF3D0-DF3C-44C5-94A8-CC0DA202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18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418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418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418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418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418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18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18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18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18C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418C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418C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418C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418C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418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18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18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18C8"/>
    <w:rPr>
      <w:rFonts w:eastAsiaTheme="majorEastAsia" w:cstheme="majorBidi"/>
      <w:color w:val="272727" w:themeColor="text1" w:themeTint="D8"/>
    </w:rPr>
  </w:style>
  <w:style w:type="paragraph" w:styleId="Ttulo">
    <w:name w:val="Title"/>
    <w:basedOn w:val="Normal"/>
    <w:next w:val="Normal"/>
    <w:link w:val="TtuloCar"/>
    <w:uiPriority w:val="10"/>
    <w:qFormat/>
    <w:rsid w:val="00F41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18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18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18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18C8"/>
    <w:pPr>
      <w:spacing w:before="160"/>
      <w:jc w:val="center"/>
    </w:pPr>
    <w:rPr>
      <w:i/>
      <w:iCs/>
      <w:color w:val="404040" w:themeColor="text1" w:themeTint="BF"/>
    </w:rPr>
  </w:style>
  <w:style w:type="character" w:customStyle="1" w:styleId="CitaCar">
    <w:name w:val="Cita Car"/>
    <w:basedOn w:val="Fuentedeprrafopredeter"/>
    <w:link w:val="Cita"/>
    <w:uiPriority w:val="29"/>
    <w:rsid w:val="00F418C8"/>
    <w:rPr>
      <w:i/>
      <w:iCs/>
      <w:color w:val="404040" w:themeColor="text1" w:themeTint="BF"/>
    </w:rPr>
  </w:style>
  <w:style w:type="paragraph" w:styleId="Prrafodelista">
    <w:name w:val="List Paragraph"/>
    <w:basedOn w:val="Normal"/>
    <w:uiPriority w:val="1"/>
    <w:qFormat/>
    <w:rsid w:val="00F418C8"/>
    <w:pPr>
      <w:ind w:left="720"/>
      <w:contextualSpacing/>
    </w:pPr>
  </w:style>
  <w:style w:type="character" w:styleId="nfasisintenso">
    <w:name w:val="Intense Emphasis"/>
    <w:basedOn w:val="Fuentedeprrafopredeter"/>
    <w:uiPriority w:val="21"/>
    <w:qFormat/>
    <w:rsid w:val="00F418C8"/>
    <w:rPr>
      <w:i/>
      <w:iCs/>
      <w:color w:val="0F4761" w:themeColor="accent1" w:themeShade="BF"/>
    </w:rPr>
  </w:style>
  <w:style w:type="paragraph" w:styleId="Citadestacada">
    <w:name w:val="Intense Quote"/>
    <w:basedOn w:val="Normal"/>
    <w:next w:val="Normal"/>
    <w:link w:val="CitadestacadaCar"/>
    <w:uiPriority w:val="30"/>
    <w:qFormat/>
    <w:rsid w:val="00F41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418C8"/>
    <w:rPr>
      <w:i/>
      <w:iCs/>
      <w:color w:val="0F4761" w:themeColor="accent1" w:themeShade="BF"/>
    </w:rPr>
  </w:style>
  <w:style w:type="character" w:styleId="Referenciaintensa">
    <w:name w:val="Intense Reference"/>
    <w:basedOn w:val="Fuentedeprrafopredeter"/>
    <w:uiPriority w:val="32"/>
    <w:qFormat/>
    <w:rsid w:val="00F418C8"/>
    <w:rPr>
      <w:b/>
      <w:bCs/>
      <w:smallCaps/>
      <w:color w:val="0F4761" w:themeColor="accent1" w:themeShade="BF"/>
      <w:spacing w:val="5"/>
    </w:rPr>
  </w:style>
  <w:style w:type="paragraph" w:styleId="Textoindependiente">
    <w:name w:val="Body Text"/>
    <w:basedOn w:val="Normal"/>
    <w:link w:val="TextoindependienteCar"/>
    <w:uiPriority w:val="1"/>
    <w:qFormat/>
    <w:rsid w:val="00F418C8"/>
    <w:pPr>
      <w:widowControl w:val="0"/>
      <w:autoSpaceDE w:val="0"/>
      <w:autoSpaceDN w:val="0"/>
      <w:spacing w:after="0" w:line="240" w:lineRule="auto"/>
    </w:pPr>
    <w:rPr>
      <w:rFonts w:ascii="Lucida Sans Unicode" w:eastAsia="Lucida Sans Unicode" w:hAnsi="Lucida Sans Unicode" w:cs="Lucida Sans Unicode"/>
      <w:kern w:val="0"/>
      <w:sz w:val="22"/>
      <w:szCs w:val="22"/>
      <w14:ligatures w14:val="none"/>
    </w:rPr>
  </w:style>
  <w:style w:type="character" w:customStyle="1" w:styleId="TextoindependienteCar">
    <w:name w:val="Texto independiente Car"/>
    <w:basedOn w:val="Fuentedeprrafopredeter"/>
    <w:link w:val="Textoindependiente"/>
    <w:uiPriority w:val="1"/>
    <w:rsid w:val="00F418C8"/>
    <w:rPr>
      <w:rFonts w:ascii="Lucida Sans Unicode" w:eastAsia="Lucida Sans Unicode" w:hAnsi="Lucida Sans Unicode" w:cs="Lucida Sans Unicode"/>
      <w:kern w:val="0"/>
      <w:sz w:val="22"/>
      <w:szCs w:val="22"/>
      <w14:ligatures w14:val="none"/>
    </w:rPr>
  </w:style>
  <w:style w:type="paragraph" w:styleId="Encabezado">
    <w:name w:val="header"/>
    <w:basedOn w:val="Normal"/>
    <w:link w:val="EncabezadoCar"/>
    <w:uiPriority w:val="99"/>
    <w:unhideWhenUsed/>
    <w:rsid w:val="00F418C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18C8"/>
  </w:style>
  <w:style w:type="paragraph" w:styleId="Piedepgina">
    <w:name w:val="footer"/>
    <w:basedOn w:val="Normal"/>
    <w:link w:val="PiedepginaCar"/>
    <w:uiPriority w:val="99"/>
    <w:unhideWhenUsed/>
    <w:rsid w:val="00F418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18C8"/>
  </w:style>
  <w:style w:type="paragraph" w:styleId="Revisin">
    <w:name w:val="Revision"/>
    <w:hidden/>
    <w:uiPriority w:val="99"/>
    <w:semiHidden/>
    <w:rsid w:val="000864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1281</Words>
  <Characters>7049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Zapirain</dc:creator>
  <cp:keywords/>
  <dc:description/>
  <cp:lastModifiedBy>Mario Rodriguez</cp:lastModifiedBy>
  <cp:revision>6</cp:revision>
  <dcterms:created xsi:type="dcterms:W3CDTF">2026-09-18T10:00:00Z</dcterms:created>
  <dcterms:modified xsi:type="dcterms:W3CDTF">2026-09-25T09:17:00Z</dcterms:modified>
</cp:coreProperties>
</file>