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B5CFC" w14:textId="77777777" w:rsidR="00345C0D" w:rsidRDefault="00345C0D" w:rsidP="00997232">
      <w:pPr>
        <w:ind w:right="-284"/>
        <w:rPr>
          <w:rFonts w:ascii="GalanoGrotesqueAlt-Light" w:hAnsi="GalanoGrotesqueAlt-Light"/>
          <w:b/>
          <w:sz w:val="16"/>
          <w:szCs w:val="16"/>
        </w:rPr>
      </w:pPr>
    </w:p>
    <w:p w14:paraId="085C9BBC" w14:textId="4EC4B4C3" w:rsidR="00E21690" w:rsidRPr="00285CD5" w:rsidRDefault="00E21690" w:rsidP="00E21690">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GAIAk BDCCrako deitutako administrazio-klausula partikularren azala, hainbat zerbitzu-prestazio prozedura ireki bidez esleitzeko. </w:t>
      </w:r>
    </w:p>
    <w:p w14:paraId="63CF4327" w14:textId="77777777" w:rsidR="00E21690" w:rsidRPr="00285CD5" w:rsidRDefault="00E21690" w:rsidP="00E21690">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8"/>
        <w:gridCol w:w="7285"/>
      </w:tblGrid>
      <w:tr w:rsidR="00E21690" w:rsidRPr="00285CD5" w14:paraId="4EEFFCB6" w14:textId="77777777" w:rsidTr="00987105">
        <w:tc>
          <w:tcPr>
            <w:tcW w:w="2457" w:type="dxa"/>
          </w:tcPr>
          <w:p w14:paraId="2150106D" w14:textId="7403F5F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Kontratuaren izena</w:t>
            </w:r>
          </w:p>
        </w:tc>
        <w:tc>
          <w:tcPr>
            <w:tcW w:w="7116" w:type="dxa"/>
          </w:tcPr>
          <w:p w14:paraId="7C0B0C9E" w14:textId="30C2DF39"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Euskadiko KSI Kultura eta Sormen Industrientzako guneA erakundeari (aurrerantzean, “BDCC”) zuzendutako aholkularitza espezializatuko kontratua. Erakunde hori Ezagutza eta Teknologia Aplikatuko Industrien Clusterraren (aurrerantzean “</w:t>
            </w:r>
            <w:r w:rsidR="00345C0D" w:rsidRPr="00345C0D">
              <w:rPr>
                <w:rFonts w:ascii="GalanoGrotesqueAlt-Light" w:hAnsi="GalanoGrotesqueAlt-Light"/>
                <w:b/>
                <w:bCs/>
                <w:sz w:val="16"/>
                <w:szCs w:val="16"/>
              </w:rPr>
              <w:t>GAIA</w:t>
            </w:r>
            <w:r w:rsidRPr="00285CD5">
              <w:rPr>
                <w:rFonts w:ascii="GalanoGrotesqueAlt-Light" w:hAnsi="GalanoGrotesqueAlt-Light"/>
                <w:sz w:val="16"/>
                <w:szCs w:val="16"/>
              </w:rPr>
              <w:t xml:space="preserve"> barruan dago</w:t>
            </w:r>
            <w:r w:rsidR="00345C0D">
              <w:rPr>
                <w:rFonts w:ascii="GalanoGrotesqueAlt-Light" w:hAnsi="GalanoGrotesqueAlt-Light"/>
                <w:sz w:val="16"/>
                <w:szCs w:val="16"/>
              </w:rPr>
              <w:t>”)</w:t>
            </w:r>
            <w:r w:rsidR="00146103" w:rsidRPr="00285CD5">
              <w:rPr>
                <w:rFonts w:ascii="GalanoGrotesqueAlt-Light" w:hAnsi="GalanoGrotesqueAlt-Light"/>
                <w:sz w:val="16"/>
                <w:szCs w:val="16"/>
              </w:rPr>
              <w:t>.</w:t>
            </w:r>
          </w:p>
        </w:tc>
      </w:tr>
      <w:tr w:rsidR="00E21690" w:rsidRPr="00285CD5" w14:paraId="348840A0" w14:textId="77777777" w:rsidTr="00987105">
        <w:tc>
          <w:tcPr>
            <w:tcW w:w="2457" w:type="dxa"/>
          </w:tcPr>
          <w:p w14:paraId="67BEC0E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Erakunde kontratatzailea (datuak) eta kontratatzailearen profila</w:t>
            </w:r>
          </w:p>
          <w:p w14:paraId="1BFC8378" w14:textId="77777777" w:rsidR="00E21690" w:rsidRPr="00285CD5" w:rsidRDefault="00E21690" w:rsidP="00CC02CE">
            <w:pPr>
              <w:spacing w:before="120" w:after="120"/>
              <w:ind w:left="567"/>
              <w:rPr>
                <w:rFonts w:ascii="GalanoGrotesqueAlt-Light" w:hAnsi="GalanoGrotesqueAlt-Light"/>
                <w:sz w:val="16"/>
                <w:szCs w:val="16"/>
              </w:rPr>
            </w:pPr>
          </w:p>
        </w:tc>
        <w:tc>
          <w:tcPr>
            <w:tcW w:w="7116" w:type="dxa"/>
          </w:tcPr>
          <w:p w14:paraId="414C429F" w14:textId="45CB7DB8" w:rsidR="00E21690" w:rsidRPr="00285CD5" w:rsidRDefault="00345C0D" w:rsidP="00CC02CE">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GAIAk (“</w:t>
            </w:r>
            <w:r w:rsidR="00E21690" w:rsidRPr="00285CD5">
              <w:rPr>
                <w:rFonts w:ascii="GalanoGrotesqueAlt-Light" w:hAnsi="GalanoGrotesqueAlt-Light"/>
                <w:b/>
                <w:color w:val="000000"/>
                <w:sz w:val="16"/>
                <w:szCs w:val="16"/>
              </w:rPr>
              <w:t>Erakunde Kontratatzailea</w:t>
            </w:r>
            <w:r w:rsidR="00E21690" w:rsidRPr="00285CD5">
              <w:rPr>
                <w:rFonts w:ascii="GalanoGrotesqueAlt-Light" w:hAnsi="GalanoGrotesqueAlt-Light"/>
                <w:color w:val="000000"/>
                <w:sz w:val="16"/>
                <w:szCs w:val="16"/>
              </w:rPr>
              <w:t>”), helbide hau du ondorio horietarako: Uribitarte Pasealekua 3, 3. solairua, 48001 Bilbao (Bizkaia).</w:t>
            </w:r>
          </w:p>
          <w:p w14:paraId="25A4B829" w14:textId="0B3A8EB3" w:rsidR="00E21690" w:rsidRPr="00285CD5" w:rsidRDefault="00E21690" w:rsidP="00CC02CE">
            <w:pPr>
              <w:tabs>
                <w:tab w:val="left" w:pos="0"/>
              </w:tabs>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Telefono-zenbakia: 902 54 03 21</w:t>
            </w:r>
          </w:p>
          <w:p w14:paraId="3B39D409" w14:textId="0F92B8F8" w:rsidR="00E21690" w:rsidRPr="00285CD5" w:rsidRDefault="00B167A7" w:rsidP="00CC02CE">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Erakunde Kontratatzailearen webgunea: </w:t>
            </w:r>
            <w:hyperlink r:id="rId8" w:history="1">
              <w:r w:rsidR="00D30A69" w:rsidRPr="00D30A69">
                <w:rPr>
                  <w:rFonts w:ascii="GalanoGrotesqueAlt-Light" w:hAnsi="GalanoGrotesqueAlt-Light"/>
                  <w:color w:val="000000"/>
                  <w:sz w:val="16"/>
                  <w:szCs w:val="16"/>
                </w:rPr>
                <w:t>https://gaia.es/</w:t>
              </w:r>
            </w:hyperlink>
            <w:r w:rsidR="00D30A69">
              <w:rPr>
                <w:rFonts w:ascii="GalanoGrotesqueAlt-Light" w:hAnsi="GalanoGrotesqueAlt-Light"/>
                <w:color w:val="000000"/>
                <w:sz w:val="16"/>
                <w:szCs w:val="16"/>
              </w:rPr>
              <w:t xml:space="preserve"> </w:t>
            </w:r>
            <w:r w:rsidR="00D30A69">
              <w:t xml:space="preserve"> </w:t>
            </w:r>
            <w:r w:rsidR="00E21690" w:rsidRPr="00285CD5">
              <w:rPr>
                <w:rFonts w:ascii="GalanoGrotesqueAlt-Light" w:hAnsi="GalanoGrotesqueAlt-Light"/>
                <w:sz w:val="16"/>
                <w:szCs w:val="16"/>
              </w:rPr>
              <w:t xml:space="preserve"> </w:t>
            </w:r>
          </w:p>
        </w:tc>
      </w:tr>
      <w:tr w:rsidR="00E21690" w:rsidRPr="00285CD5" w14:paraId="6E9B2DAB" w14:textId="77777777" w:rsidTr="00987105">
        <w:tc>
          <w:tcPr>
            <w:tcW w:w="2457" w:type="dxa"/>
          </w:tcPr>
          <w:p w14:paraId="03B2BB0C" w14:textId="6B924CB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xedea  </w:t>
            </w:r>
          </w:p>
        </w:tc>
        <w:tc>
          <w:tcPr>
            <w:tcW w:w="7116" w:type="dxa"/>
          </w:tcPr>
          <w:p w14:paraId="7ABE7D98" w14:textId="358A5FA4" w:rsidR="00E21690" w:rsidRPr="00285CD5" w:rsidRDefault="00E21690" w:rsidP="00CD4E17">
            <w:p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Kontratuaren xedea da aholkularitza espezializatuko zerbitzuak ematea. Zerbitzuak honako lote hauetan banatzen dira, eta haien zehaztapenak baldintza teknikoen pleguan jasota daude:</w:t>
            </w:r>
          </w:p>
          <w:p w14:paraId="0A13B51C" w14:textId="7D9B006F" w:rsidR="00E96481" w:rsidRPr="00B73DAD" w:rsidRDefault="00E96481" w:rsidP="00B73DAD">
            <w:pPr>
              <w:pStyle w:val="Prrafodelista"/>
              <w:numPr>
                <w:ilvl w:val="0"/>
                <w:numId w:val="2"/>
              </w:numPr>
              <w:spacing w:before="120" w:after="120" w:line="360" w:lineRule="auto"/>
              <w:jc w:val="both"/>
              <w:rPr>
                <w:rFonts w:ascii="GalanoGrotesqueAlt-Light" w:hAnsi="GalanoGrotesqueAlt-Light"/>
                <w:sz w:val="16"/>
                <w:szCs w:val="16"/>
              </w:rPr>
            </w:pPr>
            <w:r w:rsidRPr="00E96481">
              <w:rPr>
                <w:rFonts w:ascii="GalanoGrotesqueAlt-Light" w:hAnsi="GalanoGrotesqueAlt-Light"/>
                <w:sz w:val="16"/>
                <w:szCs w:val="16"/>
              </w:rPr>
              <w:t>1. LOTEA: Hausnarketa estrategikoari eta negozio-ereduaren berrikuntzari buruzko aholkularitza-zerbitzua.</w:t>
            </w:r>
          </w:p>
          <w:p w14:paraId="75E20322" w14:textId="5AB17B46" w:rsidR="00E96481" w:rsidRDefault="00E96481" w:rsidP="00FF277E">
            <w:pPr>
              <w:pStyle w:val="Prrafodelista"/>
              <w:numPr>
                <w:ilvl w:val="0"/>
                <w:numId w:val="2"/>
              </w:numPr>
              <w:spacing w:before="120" w:after="120" w:line="360" w:lineRule="auto"/>
              <w:jc w:val="both"/>
              <w:rPr>
                <w:rFonts w:ascii="GalanoGrotesqueAlt-Light" w:hAnsi="GalanoGrotesqueAlt-Light"/>
                <w:sz w:val="16"/>
                <w:szCs w:val="16"/>
              </w:rPr>
            </w:pPr>
            <w:r w:rsidRPr="00E96481">
              <w:rPr>
                <w:rFonts w:ascii="GalanoGrotesqueAlt-Light" w:hAnsi="GalanoGrotesqueAlt-Light"/>
                <w:sz w:val="16"/>
                <w:szCs w:val="16"/>
              </w:rPr>
              <w:t>2. LOTEA: Finantzen arloko aholkularitza-zerbitzua.</w:t>
            </w:r>
          </w:p>
          <w:p w14:paraId="37B8D40B" w14:textId="6B6AD953" w:rsidR="00FF277E" w:rsidRPr="00285CD5" w:rsidRDefault="00FF277E" w:rsidP="00FF277E">
            <w:pPr>
              <w:pStyle w:val="Prrafodelista"/>
              <w:numPr>
                <w:ilvl w:val="0"/>
                <w:numId w:val="2"/>
              </w:num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3. LOTEA: Marketinaren arloko aholkularitza-zerbitzua.</w:t>
            </w:r>
          </w:p>
          <w:p w14:paraId="48AB6916" w14:textId="42BC258D" w:rsidR="00FF277E" w:rsidRPr="00285CD5" w:rsidRDefault="00FF277E" w:rsidP="00FF277E">
            <w:pPr>
              <w:pStyle w:val="Prrafodelista"/>
              <w:numPr>
                <w:ilvl w:val="0"/>
                <w:numId w:val="2"/>
              </w:num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4. LOTEA: Jabetza intelektualaren arloko aholkularitza-zerbitzua.</w:t>
            </w:r>
          </w:p>
          <w:p w14:paraId="09070D70" w14:textId="6A39347A" w:rsidR="00FF277E" w:rsidRPr="00A47038" w:rsidRDefault="00FF277E" w:rsidP="00A47038">
            <w:pPr>
              <w:pStyle w:val="Prrafodelista"/>
              <w:numPr>
                <w:ilvl w:val="0"/>
                <w:numId w:val="2"/>
              </w:num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5. LOTEA: Emakumeen eta gizonen berdintasunaren arloko aholkularitza-zerbitzua.</w:t>
            </w:r>
          </w:p>
        </w:tc>
      </w:tr>
      <w:tr w:rsidR="00E21690" w:rsidRPr="00285CD5" w14:paraId="494982A6" w14:textId="77777777" w:rsidTr="00987105">
        <w:tc>
          <w:tcPr>
            <w:tcW w:w="2457" w:type="dxa"/>
          </w:tcPr>
          <w:p w14:paraId="5233EADD"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Gauzatzeko gehieneko epea/iraupena</w:t>
            </w:r>
          </w:p>
        </w:tc>
        <w:tc>
          <w:tcPr>
            <w:tcW w:w="7116" w:type="dxa"/>
          </w:tcPr>
          <w:p w14:paraId="2CC5EFEF" w14:textId="08F50035" w:rsidR="00E21690" w:rsidRPr="00285CD5" w:rsidRDefault="00CD4E17" w:rsidP="00CC02CE">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Kontratua sinatzen denetik 2027ko abenduaren 31ra arte.</w:t>
            </w:r>
          </w:p>
          <w:p w14:paraId="4F674EDE" w14:textId="6C771EEE" w:rsidR="00E21690" w:rsidRPr="00285CD5" w:rsidRDefault="00CD4E17" w:rsidP="00285CD5">
            <w:pPr>
              <w:spacing w:before="120" w:after="120"/>
              <w:jc w:val="both"/>
              <w:rPr>
                <w:rFonts w:ascii="GalanoGrotesqueAlt-Light" w:hAnsi="GalanoGrotesqueAlt-Light"/>
                <w:color w:val="000000"/>
                <w:sz w:val="16"/>
                <w:szCs w:val="16"/>
              </w:rPr>
            </w:pPr>
            <w:r w:rsidRPr="00285CD5">
              <w:rPr>
                <w:rFonts w:ascii="GalanoGrotesqueAlt-Light" w:hAnsi="GalanoGrotesqueAlt-Light"/>
                <w:iCs/>
                <w:sz w:val="16"/>
                <w:szCs w:val="16"/>
              </w:rPr>
              <w:t xml:space="preserve">Iraupena ezartzeko, kontuan hartu dira proiektuaren finantzaketaren aurrekontu-ezaugarriak eta </w:t>
            </w:r>
            <w:r w:rsidR="00E21690" w:rsidRPr="00285CD5">
              <w:rPr>
                <w:rFonts w:ascii="GalanoGrotesqueAlt-Light" w:hAnsi="GalanoGrotesqueAlt-Light"/>
                <w:iCs/>
                <w:color w:val="000000"/>
                <w:sz w:val="16"/>
                <w:szCs w:val="16"/>
              </w:rPr>
              <w:t>zerbitzu guztiak 2027ko urte naturalaren barruan fakturatu beharra.</w:t>
            </w:r>
          </w:p>
        </w:tc>
      </w:tr>
      <w:tr w:rsidR="00E21690" w:rsidRPr="00285CD5" w14:paraId="055DFE0C" w14:textId="77777777" w:rsidTr="00987105">
        <w:tc>
          <w:tcPr>
            <w:tcW w:w="2457" w:type="dxa"/>
          </w:tcPr>
          <w:p w14:paraId="2425F8A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Kontratuaren luzapena</w:t>
            </w:r>
          </w:p>
        </w:tc>
        <w:tc>
          <w:tcPr>
            <w:tcW w:w="7116" w:type="dxa"/>
          </w:tcPr>
          <w:p w14:paraId="6E09B47C" w14:textId="1A677916"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Ez.</w:t>
            </w:r>
          </w:p>
        </w:tc>
      </w:tr>
      <w:tr w:rsidR="00E21690" w:rsidRPr="00285CD5" w14:paraId="10DFA64F" w14:textId="77777777" w:rsidTr="00987105">
        <w:trPr>
          <w:trHeight w:val="1125"/>
        </w:trPr>
        <w:tc>
          <w:tcPr>
            <w:tcW w:w="2457" w:type="dxa"/>
          </w:tcPr>
          <w:p w14:paraId="01E7D5B9" w14:textId="77777777" w:rsidR="00E21690" w:rsidRPr="00285CD5" w:rsidRDefault="00E21690" w:rsidP="00E2169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Lizitazioaren oinarrizko aurrekontua, kontratuaren balio zenbatetsia eta kontabilitate-sinadura</w:t>
            </w:r>
          </w:p>
        </w:tc>
        <w:tc>
          <w:tcPr>
            <w:tcW w:w="7116" w:type="dxa"/>
          </w:tcPr>
          <w:p w14:paraId="35FED8FF" w14:textId="72BF68E2"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Lizitazioaren oinarrizko aurrekontua honako hau izango da: </w:t>
            </w:r>
            <w:r w:rsidR="00FD4716" w:rsidRPr="00285CD5">
              <w:rPr>
                <w:rFonts w:ascii="GalanoGrotesqueAlt-Light" w:hAnsi="GalanoGrotesqueAlt-Light"/>
                <w:b/>
                <w:bCs/>
                <w:sz w:val="16"/>
                <w:szCs w:val="16"/>
              </w:rPr>
              <w:t>EHUN ETA HAMAR MILA EURO</w:t>
            </w:r>
            <w:r w:rsidR="00FD4716" w:rsidRPr="00285CD5">
              <w:rPr>
                <w:rFonts w:ascii="GalanoGrotesqueAlt-Light" w:hAnsi="GalanoGrotesqueAlt-Light"/>
                <w:sz w:val="16"/>
                <w:szCs w:val="16"/>
              </w:rPr>
              <w:t xml:space="preserve"> (</w:t>
            </w:r>
            <w:r w:rsidR="00FD4716" w:rsidRPr="00285CD5">
              <w:rPr>
                <w:rFonts w:ascii="GalanoGrotesqueAlt-Light" w:hAnsi="GalanoGrotesqueAlt-Light"/>
                <w:b/>
                <w:bCs/>
                <w:sz w:val="16"/>
                <w:szCs w:val="16"/>
              </w:rPr>
              <w:t>110.000</w:t>
            </w:r>
            <w:r w:rsidR="00FD4716" w:rsidRPr="00285CD5">
              <w:rPr>
                <w:rFonts w:ascii="GalanoGrotesqueAlt-Light" w:hAnsi="GalanoGrotesqueAlt-Light"/>
                <w:sz w:val="16"/>
                <w:szCs w:val="16"/>
              </w:rPr>
              <w:t xml:space="preserve"> €), gehi dagokion BEZa, honela banakatuta: </w:t>
            </w:r>
          </w:p>
          <w:p w14:paraId="091DD12A" w14:textId="03B9AAF8" w:rsidR="00E96481" w:rsidRPr="00B73DAD" w:rsidRDefault="00E96481" w:rsidP="00B73DAD">
            <w:pPr>
              <w:pStyle w:val="Prrafodelista"/>
              <w:numPr>
                <w:ilvl w:val="0"/>
                <w:numId w:val="2"/>
              </w:numPr>
              <w:spacing w:before="120" w:after="120" w:line="360" w:lineRule="auto"/>
              <w:jc w:val="both"/>
              <w:rPr>
                <w:rFonts w:ascii="GalanoGrotesqueAlt-Light" w:hAnsi="GalanoGrotesqueAlt-Light"/>
                <w:sz w:val="16"/>
                <w:szCs w:val="16"/>
              </w:rPr>
            </w:pPr>
            <w:r w:rsidRPr="00E96481">
              <w:rPr>
                <w:rFonts w:ascii="GalanoGrotesqueAlt-Light" w:hAnsi="GalanoGrotesqueAlt-Light"/>
                <w:sz w:val="16"/>
                <w:szCs w:val="16"/>
              </w:rPr>
              <w:t xml:space="preserve">1. LOTEA: Hausnarketa estrategikoari eta negozio-ereduaren berrikuntzari buruzko aholkularitza-zerbitzua: </w:t>
            </w:r>
            <w:r w:rsidRPr="00B73DAD">
              <w:rPr>
                <w:rFonts w:ascii="GalanoGrotesqueAlt-Light" w:hAnsi="GalanoGrotesqueAlt-Light"/>
                <w:b/>
                <w:bCs/>
                <w:sz w:val="16"/>
                <w:szCs w:val="16"/>
              </w:rPr>
              <w:t>HOGEITA BI MILA EURO</w:t>
            </w:r>
            <w:r w:rsidRPr="00B73DAD">
              <w:rPr>
                <w:rFonts w:ascii="GalanoGrotesqueAlt-Light" w:hAnsi="GalanoGrotesqueAlt-Light"/>
                <w:sz w:val="16"/>
                <w:szCs w:val="16"/>
              </w:rPr>
              <w:t xml:space="preserve"> (</w:t>
            </w:r>
            <w:r w:rsidRPr="00B73DAD">
              <w:rPr>
                <w:rFonts w:ascii="GalanoGrotesqueAlt-Light" w:hAnsi="GalanoGrotesqueAlt-Light"/>
                <w:b/>
                <w:bCs/>
                <w:sz w:val="16"/>
                <w:szCs w:val="16"/>
              </w:rPr>
              <w:t>22.000</w:t>
            </w:r>
            <w:r w:rsidRPr="00B73DAD">
              <w:rPr>
                <w:rFonts w:ascii="GalanoGrotesqueAlt-Light" w:hAnsi="GalanoGrotesqueAlt-Light"/>
                <w:sz w:val="16"/>
                <w:szCs w:val="16"/>
              </w:rPr>
              <w:t xml:space="preserve"> €), gehi dagokion BEZa.</w:t>
            </w:r>
          </w:p>
          <w:p w14:paraId="57EDDE52" w14:textId="3ABEF0BC" w:rsidR="00E96481" w:rsidRPr="00E96481" w:rsidRDefault="00E96481" w:rsidP="00500EDD">
            <w:pPr>
              <w:pStyle w:val="Prrafodelista"/>
              <w:numPr>
                <w:ilvl w:val="0"/>
                <w:numId w:val="2"/>
              </w:numPr>
              <w:spacing w:before="120" w:after="120" w:line="360" w:lineRule="auto"/>
              <w:jc w:val="both"/>
              <w:rPr>
                <w:rFonts w:ascii="GalanoGrotesqueAlt-Light" w:hAnsi="GalanoGrotesqueAlt-Light"/>
                <w:sz w:val="16"/>
                <w:szCs w:val="16"/>
              </w:rPr>
            </w:pPr>
            <w:r w:rsidRPr="00E96481">
              <w:rPr>
                <w:rFonts w:ascii="GalanoGrotesqueAlt-Light" w:hAnsi="GalanoGrotesqueAlt-Light"/>
                <w:sz w:val="16"/>
                <w:szCs w:val="16"/>
              </w:rPr>
              <w:t xml:space="preserve">2. LOTEA: Finantzen arloko aholkularitza-zerbitzua. </w:t>
            </w:r>
            <w:r w:rsidR="00D02411" w:rsidRPr="00B73DAD">
              <w:rPr>
                <w:rFonts w:ascii="GalanoGrotesqueAlt-Light" w:hAnsi="GalanoGrotesqueAlt-Light"/>
                <w:b/>
                <w:bCs/>
                <w:sz w:val="16"/>
                <w:szCs w:val="16"/>
              </w:rPr>
              <w:t>HOGEITA BI MILA EURO</w:t>
            </w:r>
            <w:r w:rsidR="00D02411" w:rsidRPr="00B73DAD">
              <w:rPr>
                <w:rFonts w:ascii="GalanoGrotesqueAlt-Light" w:hAnsi="GalanoGrotesqueAlt-Light"/>
                <w:sz w:val="16"/>
                <w:szCs w:val="16"/>
              </w:rPr>
              <w:t xml:space="preserve"> (</w:t>
            </w:r>
            <w:r w:rsidR="00D02411" w:rsidRPr="00B73DAD">
              <w:rPr>
                <w:rFonts w:ascii="GalanoGrotesqueAlt-Light" w:hAnsi="GalanoGrotesqueAlt-Light"/>
                <w:b/>
                <w:bCs/>
                <w:sz w:val="16"/>
                <w:szCs w:val="16"/>
              </w:rPr>
              <w:t>22.000</w:t>
            </w:r>
            <w:r w:rsidR="00D02411" w:rsidRPr="00B73DAD">
              <w:rPr>
                <w:rFonts w:ascii="GalanoGrotesqueAlt-Light" w:hAnsi="GalanoGrotesqueAlt-Light"/>
                <w:sz w:val="16"/>
                <w:szCs w:val="16"/>
              </w:rPr>
              <w:t xml:space="preserve"> €), gehi dagokion BEZa.</w:t>
            </w:r>
          </w:p>
          <w:p w14:paraId="73BAD5E2" w14:textId="4FF2F9FD" w:rsidR="00FF277E" w:rsidRPr="00285CD5" w:rsidRDefault="00FF277E" w:rsidP="00FF277E">
            <w:pPr>
              <w:pStyle w:val="Prrafodelista"/>
              <w:numPr>
                <w:ilvl w:val="0"/>
                <w:numId w:val="2"/>
              </w:num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3. LOTEA: Marketinaren arloko aholkularitza-zerbitzua: </w:t>
            </w:r>
            <w:r w:rsidR="00F358B4">
              <w:rPr>
                <w:rFonts w:ascii="GalanoGrotesqueAlt-Light" w:hAnsi="GalanoGrotesqueAlt-Light"/>
                <w:b/>
                <w:bCs/>
                <w:sz w:val="16"/>
                <w:szCs w:val="16"/>
              </w:rPr>
              <w:t>HOGEITA ZAZPI MILA ETA BOSTEHUN EURO</w:t>
            </w:r>
            <w:r w:rsidR="007E4CA1">
              <w:rPr>
                <w:rFonts w:ascii="GalanoGrotesqueAlt-Light" w:hAnsi="GalanoGrotesqueAlt-Light"/>
                <w:sz w:val="16"/>
                <w:szCs w:val="16"/>
              </w:rPr>
              <w:t xml:space="preserve"> (</w:t>
            </w:r>
            <w:r w:rsidR="007E4CA1" w:rsidRPr="00E96481">
              <w:rPr>
                <w:rFonts w:ascii="GalanoGrotesqueAlt-Light" w:hAnsi="GalanoGrotesqueAlt-Light"/>
                <w:b/>
                <w:bCs/>
                <w:sz w:val="16"/>
                <w:szCs w:val="16"/>
              </w:rPr>
              <w:t>27.500</w:t>
            </w:r>
            <w:r w:rsidR="007E4CA1">
              <w:rPr>
                <w:rFonts w:ascii="GalanoGrotesqueAlt-Light" w:hAnsi="GalanoGrotesqueAlt-Light"/>
                <w:sz w:val="16"/>
                <w:szCs w:val="16"/>
              </w:rPr>
              <w:t xml:space="preserve"> €), gehi dagokion BEZa.</w:t>
            </w:r>
          </w:p>
          <w:p w14:paraId="61AC4034" w14:textId="34B1F23F" w:rsidR="00FF277E" w:rsidRPr="00B167A7" w:rsidRDefault="00FF277E" w:rsidP="00B167A7">
            <w:pPr>
              <w:pStyle w:val="Prrafodelista"/>
              <w:numPr>
                <w:ilvl w:val="0"/>
                <w:numId w:val="2"/>
              </w:numPr>
              <w:spacing w:before="120" w:after="120" w:line="360" w:lineRule="auto"/>
              <w:jc w:val="both"/>
              <w:rPr>
                <w:rFonts w:ascii="GalanoGrotesqueAlt-Light" w:hAnsi="GalanoGrotesqueAlt-Light"/>
                <w:sz w:val="16"/>
                <w:szCs w:val="16"/>
              </w:rPr>
            </w:pPr>
            <w:r w:rsidRPr="00B167A7">
              <w:rPr>
                <w:rFonts w:ascii="GalanoGrotesqueAlt-Light" w:hAnsi="GalanoGrotesqueAlt-Light"/>
                <w:sz w:val="16"/>
                <w:szCs w:val="16"/>
              </w:rPr>
              <w:t xml:space="preserve">4. LOTEA: Jabetza intelektualaren arloko aholkularitza-zerbitzua: </w:t>
            </w:r>
            <w:r w:rsidR="00F358B4">
              <w:rPr>
                <w:rFonts w:ascii="GalanoGrotesqueAlt-Light" w:hAnsi="GalanoGrotesqueAlt-Light"/>
                <w:b/>
                <w:bCs/>
                <w:sz w:val="16"/>
                <w:szCs w:val="16"/>
              </w:rPr>
              <w:t>HOGEITA ZAZPI MILA ETA BOSTEHUN EURO</w:t>
            </w:r>
            <w:r w:rsidR="00F358B4">
              <w:rPr>
                <w:rFonts w:ascii="GalanoGrotesqueAlt-Light" w:hAnsi="GalanoGrotesqueAlt-Light"/>
                <w:sz w:val="16"/>
                <w:szCs w:val="16"/>
              </w:rPr>
              <w:t xml:space="preserve"> (</w:t>
            </w:r>
            <w:r w:rsidR="00F358B4" w:rsidRPr="00E96481">
              <w:rPr>
                <w:rFonts w:ascii="GalanoGrotesqueAlt-Light" w:hAnsi="GalanoGrotesqueAlt-Light"/>
                <w:b/>
                <w:bCs/>
                <w:sz w:val="16"/>
                <w:szCs w:val="16"/>
              </w:rPr>
              <w:t>27.500</w:t>
            </w:r>
            <w:r w:rsidR="00F358B4">
              <w:rPr>
                <w:rFonts w:ascii="GalanoGrotesqueAlt-Light" w:hAnsi="GalanoGrotesqueAlt-Light"/>
                <w:sz w:val="16"/>
                <w:szCs w:val="16"/>
              </w:rPr>
              <w:t xml:space="preserve"> €), gehi dagokion BEZa.</w:t>
            </w:r>
          </w:p>
          <w:p w14:paraId="2827E388" w14:textId="6FAA01ED" w:rsidR="00FF277E" w:rsidRPr="00E96481" w:rsidRDefault="00FF277E" w:rsidP="00A47038">
            <w:pPr>
              <w:pStyle w:val="Prrafodelista"/>
              <w:numPr>
                <w:ilvl w:val="0"/>
                <w:numId w:val="2"/>
              </w:num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5. LOTEA: Emakumeen eta gizonaren berdintasunaren arloko aholkularitza-zerbitzua: </w:t>
            </w:r>
            <w:r w:rsidR="00F358B4">
              <w:rPr>
                <w:rFonts w:ascii="GalanoGrotesqueAlt-Light" w:hAnsi="GalanoGrotesqueAlt-Light"/>
                <w:b/>
                <w:bCs/>
                <w:sz w:val="16"/>
                <w:szCs w:val="16"/>
              </w:rPr>
              <w:t xml:space="preserve"> HAMAIKA MILA EURO</w:t>
            </w:r>
            <w:r w:rsidR="00E96481">
              <w:rPr>
                <w:rFonts w:ascii="GalanoGrotesqueAlt-Light" w:hAnsi="GalanoGrotesqueAlt-Light"/>
                <w:sz w:val="16"/>
                <w:szCs w:val="16"/>
              </w:rPr>
              <w:t xml:space="preserve"> (</w:t>
            </w:r>
            <w:r w:rsidR="00BC30F2" w:rsidRPr="00D12EC2">
              <w:rPr>
                <w:rFonts w:ascii="GalanoGrotesqueAlt-Light" w:hAnsi="GalanoGrotesqueAlt-Light"/>
                <w:b/>
                <w:bCs/>
                <w:sz w:val="16"/>
                <w:szCs w:val="16"/>
              </w:rPr>
              <w:t>11.000</w:t>
            </w:r>
            <w:r w:rsidR="00E96481">
              <w:rPr>
                <w:rFonts w:ascii="GalanoGrotesqueAlt-Light" w:hAnsi="GalanoGrotesqueAlt-Light"/>
                <w:sz w:val="16"/>
                <w:szCs w:val="16"/>
              </w:rPr>
              <w:t xml:space="preserve"> €), gehi dagokion BEZa.</w:t>
            </w:r>
          </w:p>
          <w:p w14:paraId="76FD08A0" w14:textId="77777777" w:rsidR="00E21690" w:rsidRDefault="00E21690" w:rsidP="00FD4716">
            <w:pPr>
              <w:rPr>
                <w:rFonts w:ascii="GalanoGrotesqueAlt-Light" w:hAnsi="GalanoGrotesqueAlt-Light"/>
                <w:sz w:val="16"/>
                <w:szCs w:val="16"/>
              </w:rPr>
            </w:pPr>
            <w:r w:rsidRPr="00285CD5">
              <w:rPr>
                <w:rFonts w:ascii="GalanoGrotesqueAlt-Light" w:hAnsi="GalanoGrotesqueAlt-Light"/>
                <w:sz w:val="16"/>
                <w:szCs w:val="16"/>
              </w:rPr>
              <w:t>Balio zenbatetsia kalkulatzeko erabilitako metodoa zerbitzuen merkatuko prezioan oinarritu da.</w:t>
            </w:r>
          </w:p>
          <w:p w14:paraId="0C5AC260" w14:textId="61FB0BB5" w:rsidR="00345C0D" w:rsidRPr="00285CD5" w:rsidRDefault="00345C0D" w:rsidP="00FD4716">
            <w:pPr>
              <w:rPr>
                <w:rFonts w:ascii="GalanoGrotesqueAlt-Light" w:hAnsi="GalanoGrotesqueAlt-Light"/>
                <w:sz w:val="16"/>
                <w:szCs w:val="16"/>
              </w:rPr>
            </w:pPr>
          </w:p>
        </w:tc>
      </w:tr>
      <w:tr w:rsidR="00E21690" w:rsidRPr="00285CD5" w14:paraId="5B1A17B1" w14:textId="77777777" w:rsidTr="00987105">
        <w:tc>
          <w:tcPr>
            <w:tcW w:w="2457" w:type="dxa"/>
          </w:tcPr>
          <w:p w14:paraId="6EFBD879"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Loteak dauden</w:t>
            </w:r>
          </w:p>
        </w:tc>
        <w:tc>
          <w:tcPr>
            <w:tcW w:w="7116" w:type="dxa"/>
          </w:tcPr>
          <w:p w14:paraId="18499D09" w14:textId="1FEFC16F" w:rsidR="00E21690" w:rsidRPr="00285CD5" w:rsidRDefault="00E21690" w:rsidP="0099723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Bai. </w:t>
            </w:r>
          </w:p>
        </w:tc>
      </w:tr>
      <w:tr w:rsidR="00E21690" w:rsidRPr="00285CD5" w14:paraId="75E17725" w14:textId="77777777" w:rsidTr="00987105">
        <w:tc>
          <w:tcPr>
            <w:tcW w:w="2457" w:type="dxa"/>
          </w:tcPr>
          <w:p w14:paraId="130BCEB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Loteei ezarritako mugakm eta eskaintza integratzaileak aurkezteko aukera</w:t>
            </w:r>
          </w:p>
        </w:tc>
        <w:tc>
          <w:tcPr>
            <w:tcW w:w="7116" w:type="dxa"/>
          </w:tcPr>
          <w:p w14:paraId="7DAF2665" w14:textId="453F6C23" w:rsidR="00FD4716" w:rsidRPr="00285CD5" w:rsidRDefault="00FD4716" w:rsidP="00FD4716">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Ez dagokio. Zerbitzu bat baino gehiago barne hartzen dituzten eskaintza integratzaileak aurkeztu ahal izango dira.</w:t>
            </w:r>
          </w:p>
          <w:p w14:paraId="4360DBEA" w14:textId="324229AD"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3F007916" w14:textId="77777777" w:rsidTr="001E5007">
        <w:trPr>
          <w:trHeight w:val="70"/>
        </w:trPr>
        <w:tc>
          <w:tcPr>
            <w:tcW w:w="2457" w:type="dxa"/>
          </w:tcPr>
          <w:p w14:paraId="65A4D028" w14:textId="77777777" w:rsidR="00E21690" w:rsidRPr="00285CD5" w:rsidRDefault="00E21690" w:rsidP="00441FED">
            <w:pPr>
              <w:numPr>
                <w:ilvl w:val="0"/>
                <w:numId w:val="1"/>
              </w:numPr>
              <w:tabs>
                <w:tab w:val="left" w:pos="567"/>
              </w:tabs>
              <w:spacing w:before="120" w:after="120"/>
              <w:ind w:right="-78"/>
              <w:rPr>
                <w:rFonts w:ascii="GalanoGrotesqueAlt-Light" w:hAnsi="GalanoGrotesqueAlt-Light"/>
                <w:sz w:val="16"/>
                <w:szCs w:val="16"/>
              </w:rPr>
            </w:pPr>
            <w:r w:rsidRPr="00285CD5">
              <w:rPr>
                <w:rFonts w:ascii="GalanoGrotesqueAlt-Light" w:hAnsi="GalanoGrotesqueAlt-Light"/>
                <w:sz w:val="16"/>
                <w:szCs w:val="16"/>
              </w:rPr>
              <w:t xml:space="preserve">Prozedura mota, izapidetzeko modua eta </w:t>
            </w:r>
            <w:proofErr w:type="spellStart"/>
            <w:r w:rsidRPr="00285CD5">
              <w:rPr>
                <w:rFonts w:ascii="GalanoGrotesqueAlt-Light" w:hAnsi="GalanoGrotesqueAlt-Light"/>
                <w:sz w:val="16"/>
                <w:szCs w:val="16"/>
              </w:rPr>
              <w:t>prozedurari</w:t>
            </w:r>
            <w:proofErr w:type="spellEnd"/>
            <w:r w:rsidRPr="00285CD5">
              <w:rPr>
                <w:rFonts w:ascii="GalanoGrotesqueAlt-Light" w:hAnsi="GalanoGrotesqueAlt-Light"/>
                <w:sz w:val="16"/>
                <w:szCs w:val="16"/>
              </w:rPr>
              <w:t xml:space="preserve"> </w:t>
            </w:r>
            <w:proofErr w:type="spellStart"/>
            <w:r w:rsidRPr="00285CD5">
              <w:rPr>
                <w:rFonts w:ascii="GalanoGrotesqueAlt-Light" w:hAnsi="GalanoGrotesqueAlt-Light"/>
                <w:sz w:val="16"/>
                <w:szCs w:val="16"/>
              </w:rPr>
              <w:t>aplikatu</w:t>
            </w:r>
            <w:proofErr w:type="spellEnd"/>
            <w:r w:rsidRPr="00285CD5">
              <w:rPr>
                <w:rFonts w:ascii="GalanoGrotesqueAlt-Light" w:hAnsi="GalanoGrotesqueAlt-Light"/>
                <w:sz w:val="16"/>
                <w:szCs w:val="16"/>
              </w:rPr>
              <w:t xml:space="preserve"> </w:t>
            </w:r>
            <w:proofErr w:type="spellStart"/>
            <w:r w:rsidRPr="00285CD5">
              <w:rPr>
                <w:rFonts w:ascii="GalanoGrotesqueAlt-Light" w:hAnsi="GalanoGrotesqueAlt-Light"/>
                <w:sz w:val="16"/>
                <w:szCs w:val="16"/>
              </w:rPr>
              <w:t>beharreko</w:t>
            </w:r>
            <w:proofErr w:type="spellEnd"/>
            <w:r w:rsidRPr="00285CD5">
              <w:rPr>
                <w:rFonts w:ascii="GalanoGrotesqueAlt-Light" w:hAnsi="GalanoGrotesqueAlt-Light"/>
                <w:sz w:val="16"/>
                <w:szCs w:val="16"/>
              </w:rPr>
              <w:t xml:space="preserve"> </w:t>
            </w:r>
            <w:proofErr w:type="spellStart"/>
            <w:r w:rsidRPr="00285CD5">
              <w:rPr>
                <w:rFonts w:ascii="GalanoGrotesqueAlt-Light" w:hAnsi="GalanoGrotesqueAlt-Light"/>
                <w:sz w:val="16"/>
                <w:szCs w:val="16"/>
              </w:rPr>
              <w:t>arauak</w:t>
            </w:r>
            <w:proofErr w:type="spellEnd"/>
          </w:p>
        </w:tc>
        <w:tc>
          <w:tcPr>
            <w:tcW w:w="7116" w:type="dxa"/>
          </w:tcPr>
          <w:p w14:paraId="7ED28956"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Irekia. </w:t>
            </w:r>
          </w:p>
          <w:p w14:paraId="5750167D" w14:textId="57AE1A44"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Izapidetze arrunta, SPKLren bigarren liburuko I. tituluko I. kapituluko 2. atala analogiaz beteta</w:t>
            </w:r>
            <w:r w:rsidRPr="00285CD5">
              <w:rPr>
                <w:rFonts w:ascii="GalanoGrotesqueAlt-Light" w:hAnsi="GalanoGrotesqueAlt-Light"/>
                <w:i/>
                <w:sz w:val="16"/>
                <w:szCs w:val="16"/>
              </w:rPr>
              <w:t>.</w:t>
            </w:r>
          </w:p>
          <w:p w14:paraId="367B9B45" w14:textId="77777777" w:rsidR="00E21690" w:rsidRPr="00285CD5" w:rsidRDefault="00E21690" w:rsidP="00CC02CE">
            <w:pPr>
              <w:spacing w:before="120" w:after="120"/>
              <w:jc w:val="both"/>
              <w:rPr>
                <w:rFonts w:ascii="GalanoGrotesqueAlt-Light" w:hAnsi="GalanoGrotesqueAlt-Light"/>
                <w:sz w:val="16"/>
                <w:szCs w:val="16"/>
                <w:vertAlign w:val="superscript"/>
              </w:rPr>
            </w:pPr>
          </w:p>
        </w:tc>
      </w:tr>
      <w:tr w:rsidR="00E21690" w:rsidRPr="00285CD5" w14:paraId="1906849A" w14:textId="77777777" w:rsidTr="00987105">
        <w:tc>
          <w:tcPr>
            <w:tcW w:w="2457" w:type="dxa"/>
          </w:tcPr>
          <w:p w14:paraId="103224B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Agiriak eta gainerako dokumentazioa eskuratzeko lekua, eta tokian bertan bisitak egiteko aukera</w:t>
            </w:r>
          </w:p>
        </w:tc>
        <w:tc>
          <w:tcPr>
            <w:tcW w:w="7116" w:type="dxa"/>
          </w:tcPr>
          <w:p w14:paraId="6EB79DFA" w14:textId="4ADC9EBD"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Aurreko </w:t>
            </w:r>
            <w:r w:rsidRPr="00285CD5">
              <w:rPr>
                <w:rFonts w:ascii="GalanoGrotesqueAlt-Light" w:hAnsi="GalanoGrotesqueAlt-Light"/>
                <w:b/>
                <w:sz w:val="16"/>
                <w:szCs w:val="16"/>
                <w:u w:val="single"/>
              </w:rPr>
              <w:t>2. puntuan</w:t>
            </w:r>
            <w:r w:rsidRPr="00285CD5">
              <w:rPr>
                <w:rFonts w:ascii="GalanoGrotesqueAlt-Light" w:hAnsi="GalanoGrotesqueAlt-Light"/>
                <w:sz w:val="16"/>
                <w:szCs w:val="16"/>
              </w:rPr>
              <w:t xml:space="preserve"> adierazitako Erakunde Kontratatzailearen kontratatzaile-profila.</w:t>
            </w:r>
          </w:p>
          <w:p w14:paraId="153478AF" w14:textId="0CC29D24"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668A1D18" w14:textId="77777777" w:rsidTr="00987105">
        <w:trPr>
          <w:trHeight w:val="557"/>
        </w:trPr>
        <w:tc>
          <w:tcPr>
            <w:tcW w:w="2457" w:type="dxa"/>
          </w:tcPr>
          <w:p w14:paraId="2A19D62C"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Behin-behineko bermea</w:t>
            </w:r>
          </w:p>
        </w:tc>
        <w:tc>
          <w:tcPr>
            <w:tcW w:w="7116" w:type="dxa"/>
          </w:tcPr>
          <w:p w14:paraId="1D2D1BA4" w14:textId="60C8D0E5" w:rsidR="00E21690" w:rsidRPr="00285CD5" w:rsidRDefault="00E21690" w:rsidP="00285CD5">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Ez.</w:t>
            </w:r>
          </w:p>
        </w:tc>
      </w:tr>
      <w:tr w:rsidR="00E21690" w:rsidRPr="00285CD5" w14:paraId="33919681" w14:textId="77777777" w:rsidTr="00987105">
        <w:tc>
          <w:tcPr>
            <w:tcW w:w="2457" w:type="dxa"/>
          </w:tcPr>
          <w:p w14:paraId="5B8B1C9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Behin betiko bermea</w:t>
            </w:r>
          </w:p>
        </w:tc>
        <w:tc>
          <w:tcPr>
            <w:tcW w:w="7116" w:type="dxa"/>
          </w:tcPr>
          <w:p w14:paraId="5475502C" w14:textId="1302B9C2" w:rsidR="00E21690" w:rsidRPr="00285CD5" w:rsidRDefault="00E21690" w:rsidP="00285CD5">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Ez.</w:t>
            </w:r>
          </w:p>
        </w:tc>
      </w:tr>
      <w:tr w:rsidR="00E21690" w:rsidRPr="00285CD5" w14:paraId="5E00753B" w14:textId="77777777" w:rsidTr="00987105">
        <w:tc>
          <w:tcPr>
            <w:tcW w:w="2457" w:type="dxa"/>
          </w:tcPr>
          <w:p w14:paraId="7347A9A1"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Eskaintzak aurkezteko azken epea</w:t>
            </w:r>
          </w:p>
        </w:tc>
        <w:tc>
          <w:tcPr>
            <w:tcW w:w="7116" w:type="dxa"/>
          </w:tcPr>
          <w:p w14:paraId="1F436C5E" w14:textId="060480DA" w:rsidR="00E21690" w:rsidRDefault="00E21690" w:rsidP="00CC02CE">
            <w:pPr>
              <w:spacing w:before="120" w:after="120"/>
              <w:jc w:val="both"/>
              <w:rPr>
                <w:rFonts w:ascii="GalanoGrotesqueAlt-Light" w:hAnsi="GalanoGrotesqueAlt-Light"/>
                <w:sz w:val="16"/>
                <w:szCs w:val="16"/>
              </w:rPr>
            </w:pPr>
            <w:r w:rsidRPr="0059615A">
              <w:rPr>
                <w:rFonts w:ascii="GalanoGrotesqueAlt-Light" w:hAnsi="GalanoGrotesqueAlt-Light"/>
                <w:sz w:val="16"/>
                <w:szCs w:val="16"/>
              </w:rPr>
              <w:t>2026ko urriaren 20an, 10:00ak arte.</w:t>
            </w:r>
          </w:p>
          <w:p w14:paraId="23F736DD" w14:textId="43D74F55" w:rsidR="00E21690" w:rsidRPr="00285CD5" w:rsidRDefault="003430B6" w:rsidP="007846E9">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Eskaintzak erakunde kontratatzailearen bulegoetan aurkeztu ahal izango dira, gutun-azal itxian, edo posta elektronikoz bidali ahal izango dira, honako helbide hauetara: judit@gaia.es edo vidorreta@gaia.es.</w:t>
            </w:r>
          </w:p>
        </w:tc>
      </w:tr>
      <w:tr w:rsidR="00E21690" w:rsidRPr="00285CD5" w14:paraId="366ED4CA" w14:textId="77777777" w:rsidTr="00987105">
        <w:trPr>
          <w:trHeight w:val="420"/>
        </w:trPr>
        <w:tc>
          <w:tcPr>
            <w:tcW w:w="2457" w:type="dxa"/>
          </w:tcPr>
          <w:p w14:paraId="529E3412" w14:textId="6C5FE574"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Kaudimen teknikoa, eta ekonomia- eta finantza-kaudimena egiaztatzeko bitartekoak (A GUTUN-AZALA):</w:t>
            </w:r>
          </w:p>
        </w:tc>
        <w:tc>
          <w:tcPr>
            <w:tcW w:w="7116" w:type="dxa"/>
          </w:tcPr>
          <w:p w14:paraId="1A407600"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 honetan parte hartzeko, lizitatzaileek kaudimena: </w:t>
            </w:r>
            <w:r w:rsidRPr="00285CD5">
              <w:rPr>
                <w:rFonts w:ascii="GalanoGrotesqueAlt-Light" w:hAnsi="GalanoGrotesqueAlt-Light"/>
                <w:b/>
                <w:sz w:val="16"/>
                <w:szCs w:val="16"/>
              </w:rPr>
              <w:t xml:space="preserve">honako bitarteko hauen bidez egiaztatu beharko dute </w:t>
            </w:r>
            <w:r w:rsidRPr="00285CD5">
              <w:rPr>
                <w:rFonts w:ascii="GalanoGrotesqueAlt-Light" w:hAnsi="GalanoGrotesqueAlt-Light"/>
                <w:sz w:val="16"/>
                <w:szCs w:val="16"/>
              </w:rPr>
              <w:t>kaudimena:</w:t>
            </w:r>
          </w:p>
          <w:p w14:paraId="703DA541" w14:textId="6D5A2D68" w:rsidR="00CC11CD" w:rsidRPr="00285CD5" w:rsidRDefault="00CC11CD" w:rsidP="00CC11CD">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Kaudimen teknikoa:</w:t>
            </w:r>
          </w:p>
          <w:p w14:paraId="378CDBE1" w14:textId="31DC0C33" w:rsidR="00CC11CD" w:rsidRPr="00285CD5" w:rsidRDefault="00CC11CD" w:rsidP="00CC11CD">
            <w:pPr>
              <w:pStyle w:val="Prrafodelista"/>
              <w:spacing w:before="120" w:after="120"/>
              <w:jc w:val="both"/>
              <w:rPr>
                <w:rFonts w:ascii="GalanoGrotesqueAlt-Light" w:hAnsi="GalanoGrotesqueAlt-Light"/>
                <w:b/>
                <w:bCs/>
                <w:sz w:val="16"/>
                <w:szCs w:val="16"/>
              </w:rPr>
            </w:pPr>
          </w:p>
          <w:p w14:paraId="61CCC29D" w14:textId="39B0068C" w:rsidR="00CC11CD" w:rsidRPr="00285CD5" w:rsidRDefault="00CC11CD" w:rsidP="00CC11CD">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Enpresek egiaztatu beharko dute azken 5 urteetan eskaintza aurkezten duten loteetako zerbitzuen antzeko izaera duten zerbitzuak eman dituztela. Enpresek alderdi hori enpresa kontratatzaileek emandako ziurtagirien bidez egiaztatu beharko dute.</w:t>
            </w:r>
          </w:p>
          <w:p w14:paraId="30F7FC68" w14:textId="77777777" w:rsidR="00B039AB" w:rsidRPr="00285CD5" w:rsidRDefault="00B039AB" w:rsidP="00CC11CD">
            <w:pPr>
              <w:pStyle w:val="Prrafodelista"/>
              <w:spacing w:before="120" w:after="120"/>
              <w:jc w:val="both"/>
              <w:rPr>
                <w:rFonts w:ascii="GalanoGrotesqueAlt-Light" w:hAnsi="GalanoGrotesqueAlt-Light"/>
                <w:sz w:val="16"/>
                <w:szCs w:val="16"/>
              </w:rPr>
            </w:pPr>
          </w:p>
          <w:p w14:paraId="10865BBF" w14:textId="721C4A7B" w:rsidR="00CC11CD" w:rsidRPr="00285CD5" w:rsidRDefault="00B039AB" w:rsidP="00B039AB">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Kaudimen ekonomikoa:</w:t>
            </w:r>
          </w:p>
          <w:p w14:paraId="426257B4" w14:textId="51CB7A84" w:rsidR="00B039AB" w:rsidRPr="00285CD5" w:rsidRDefault="00B039AB" w:rsidP="00B039AB">
            <w:pPr>
              <w:pStyle w:val="Prrafodelista"/>
              <w:spacing w:before="120" w:after="120"/>
              <w:jc w:val="both"/>
              <w:rPr>
                <w:rFonts w:ascii="GalanoGrotesqueAlt-Light" w:hAnsi="GalanoGrotesqueAlt-Light"/>
                <w:sz w:val="16"/>
                <w:szCs w:val="16"/>
              </w:rPr>
            </w:pPr>
          </w:p>
          <w:p w14:paraId="76A9BC75" w14:textId="297E3AF3" w:rsidR="00E21690" w:rsidRDefault="00B039AB" w:rsidP="00B039AB">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Enpresek egiaztatu beharko dute azken 5 ekitaldietako batez besteko fakturazio-bolumena eskaintza aurkezten diren lotearen lizitazioaren oinarrizko aurrekontuarena baino 1,5 bider handiagoa dela. Enpresek aurreko urteetako urteko kontu erabilgarriak aurkeztuta egiaztatu ahal izango dute alderdi hori. Argitaratutako konturik ez duten aurreko urte hurbileneko emaitzak erantzukizunpeko adierazpen baten bidez aitortu ahal izango dituzte.</w:t>
            </w:r>
          </w:p>
          <w:p w14:paraId="06EE029E" w14:textId="1FF1F9D9"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Enpresa kontratista sortu berria bada, hau da, bost urtetik beherako antzinatasuna badu, haren kaudimen teknikoa honako bitarteko hauen bidez egiaztatuko da:</w:t>
            </w:r>
          </w:p>
          <w:p w14:paraId="73E72057" w14:textId="77777777"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w:t>
            </w:r>
            <w:r w:rsidRPr="002129B8">
              <w:rPr>
                <w:rFonts w:ascii="GalanoGrotesqueAlt-Light" w:hAnsi="GalanoGrotesqueAlt-Light"/>
                <w:sz w:val="16"/>
                <w:szCs w:val="16"/>
                <w:lang w:val="eu-ES"/>
              </w:rPr>
              <w:tab/>
              <w:t>Kontratuan parte hartuko duten teknikariak adierazita.</w:t>
            </w:r>
          </w:p>
          <w:p w14:paraId="41E62D90" w14:textId="04D0AB9C" w:rsidR="002129B8" w:rsidRPr="00B94AE1" w:rsidRDefault="002129B8" w:rsidP="00B94AE1">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w:t>
            </w:r>
            <w:r w:rsidRPr="002129B8">
              <w:rPr>
                <w:rFonts w:ascii="GalanoGrotesqueAlt-Light" w:hAnsi="GalanoGrotesqueAlt-Light"/>
                <w:sz w:val="16"/>
                <w:szCs w:val="16"/>
                <w:lang w:val="eu-ES"/>
              </w:rPr>
              <w:tab/>
              <w:t>Kontratua gauzatzeko ardura dutenen titulu akademikoak eta profesionalak aurkeztuta.</w:t>
            </w:r>
          </w:p>
        </w:tc>
      </w:tr>
      <w:tr w:rsidR="00E21690" w:rsidRPr="00285CD5" w14:paraId="21A5193F" w14:textId="77777777" w:rsidTr="00987105">
        <w:tc>
          <w:tcPr>
            <w:tcW w:w="2457" w:type="dxa"/>
          </w:tcPr>
          <w:p w14:paraId="54E61D4D" w14:textId="66320C4C"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Formula bidez kuantifikatu ezin diren irizpideei buruzko dokumentazioa (B gutun-azala) eta haztapen-faktoreak.</w:t>
            </w:r>
          </w:p>
        </w:tc>
        <w:tc>
          <w:tcPr>
            <w:tcW w:w="7116" w:type="dxa"/>
          </w:tcPr>
          <w:p w14:paraId="5C51D508" w14:textId="7F04EA7D" w:rsidR="00B039AB" w:rsidRPr="00285CD5" w:rsidRDefault="00E21690" w:rsidP="00B039AB">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Honako dokumentazio hau aurkeztuko da, adierazitako hurrenkerari jarraituz eta balorazio subjektiboaren haztapen-faktore hauen arabera:</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905"/>
              <w:gridCol w:w="1198"/>
              <w:gridCol w:w="15"/>
            </w:tblGrid>
            <w:tr w:rsidR="00987105" w:rsidRPr="00285CD5" w14:paraId="2934C4D4" w14:textId="77777777" w:rsidTr="00987105">
              <w:trPr>
                <w:trHeight w:val="149"/>
              </w:trPr>
              <w:tc>
                <w:tcPr>
                  <w:tcW w:w="1405" w:type="dxa"/>
                  <w:tcBorders>
                    <w:top w:val="nil"/>
                    <w:left w:val="nil"/>
                    <w:bottom w:val="nil"/>
                    <w:right w:val="nil"/>
                  </w:tcBorders>
                  <w:noWrap/>
                  <w:vAlign w:val="bottom"/>
                  <w:hideMark/>
                </w:tcPr>
                <w:p w14:paraId="41902D73" w14:textId="77777777" w:rsidR="00D52E5F" w:rsidRPr="00285CD5" w:rsidRDefault="00D52E5F" w:rsidP="00D52E5F">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w14:paraId="532C60FB" w14:textId="77777777" w:rsidR="00D52E5F" w:rsidRPr="00285CD5" w:rsidRDefault="00D52E5F" w:rsidP="00D52E5F">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w14:paraId="68914C9B" w14:textId="340C80E1" w:rsidR="00D52E5F" w:rsidRPr="00285CD5" w:rsidRDefault="00D52E5F" w:rsidP="00D52E5F">
                  <w:pPr>
                    <w:spacing w:after="160" w:line="259" w:lineRule="auto"/>
                    <w:jc w:val="both"/>
                    <w:rPr>
                      <w:rFonts w:ascii="GalanoGrotesqueAlt-Light" w:hAnsi="GalanoGrotesqueAlt-Light"/>
                      <w:color w:val="000000" w:themeColor="text1"/>
                      <w:sz w:val="16"/>
                      <w:szCs w:val="16"/>
                    </w:rPr>
                  </w:pPr>
                </w:p>
              </w:tc>
            </w:tr>
            <w:tr w:rsidR="00987105" w:rsidRPr="00285CD5" w14:paraId="682B5C85" w14:textId="77777777" w:rsidTr="00B94AE1">
              <w:trPr>
                <w:trHeight w:val="126"/>
              </w:trPr>
              <w:tc>
                <w:tcPr>
                  <w:tcW w:w="1405" w:type="dxa"/>
                  <w:tcBorders>
                    <w:top w:val="nil"/>
                    <w:left w:val="nil"/>
                    <w:bottom w:val="nil"/>
                    <w:right w:val="nil"/>
                  </w:tcBorders>
                  <w:vAlign w:val="center"/>
                  <w:hideMark/>
                </w:tcPr>
                <w:p w14:paraId="686FCFC8"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24831289"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Gehieneko puntuazioa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536AD44E"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Bikaina</w:t>
                  </w:r>
                </w:p>
              </w:tc>
              <w:tc>
                <w:tcPr>
                  <w:tcW w:w="707" w:type="dxa"/>
                  <w:tcBorders>
                    <w:top w:val="nil"/>
                    <w:left w:val="nil"/>
                    <w:bottom w:val="single" w:sz="4" w:space="0" w:color="auto"/>
                    <w:right w:val="single" w:sz="4" w:space="0" w:color="auto"/>
                  </w:tcBorders>
                  <w:shd w:val="clear" w:color="000000" w:fill="FFFFFF"/>
                  <w:vAlign w:val="center"/>
                  <w:hideMark/>
                </w:tcPr>
                <w:p w14:paraId="445F9990"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Ona</w:t>
                  </w:r>
                </w:p>
              </w:tc>
              <w:tc>
                <w:tcPr>
                  <w:tcW w:w="707" w:type="dxa"/>
                  <w:tcBorders>
                    <w:top w:val="nil"/>
                    <w:left w:val="nil"/>
                    <w:bottom w:val="single" w:sz="4" w:space="0" w:color="auto"/>
                    <w:right w:val="single" w:sz="4" w:space="0" w:color="auto"/>
                  </w:tcBorders>
                  <w:shd w:val="clear" w:color="000000" w:fill="FFFFFF"/>
                  <w:vAlign w:val="center"/>
                  <w:hideMark/>
                </w:tcPr>
                <w:p w14:paraId="2293125D"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Ertaina</w:t>
                  </w:r>
                </w:p>
              </w:tc>
              <w:tc>
                <w:tcPr>
                  <w:tcW w:w="730" w:type="dxa"/>
                  <w:tcBorders>
                    <w:top w:val="nil"/>
                    <w:left w:val="nil"/>
                    <w:bottom w:val="single" w:sz="4" w:space="0" w:color="auto"/>
                    <w:right w:val="single" w:sz="4" w:space="0" w:color="auto"/>
                  </w:tcBorders>
                  <w:shd w:val="clear" w:color="000000" w:fill="FFFFFF"/>
                  <w:vAlign w:val="center"/>
                  <w:hideMark/>
                </w:tcPr>
                <w:p w14:paraId="7F344695"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Oinarrizkoa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1384C94D" w14:textId="77777777" w:rsidR="00D52E5F" w:rsidRPr="00285CD5" w:rsidRDefault="00D52E5F" w:rsidP="00D52E5F">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Ez da aurkezten edo ez dagokio</w:t>
                  </w:r>
                </w:p>
              </w:tc>
            </w:tr>
            <w:tr w:rsidR="00987105" w:rsidRPr="00285CD5" w14:paraId="1693F865" w14:textId="77777777" w:rsidTr="00D52E5F">
              <w:trPr>
                <w:gridAfter w:val="1"/>
                <w:wAfter w:w="15" w:type="dxa"/>
                <w:trHeight w:val="126"/>
              </w:trPr>
              <w:tc>
                <w:tcPr>
                  <w:tcW w:w="1405" w:type="dxa"/>
                  <w:tcBorders>
                    <w:top w:val="nil"/>
                    <w:left w:val="nil"/>
                    <w:bottom w:val="nil"/>
                    <w:right w:val="nil"/>
                  </w:tcBorders>
                  <w:vAlign w:val="center"/>
                  <w:hideMark/>
                </w:tcPr>
                <w:p w14:paraId="62895A71"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w14:paraId="4A5F921E" w14:textId="77777777" w:rsidR="00D52E5F" w:rsidRPr="00285CD5" w:rsidRDefault="00D52E5F" w:rsidP="00D52E5F">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F75666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65E697FE"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5A61E0E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77FE2B3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CCD2F14"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0</w:t>
                  </w:r>
                </w:p>
              </w:tc>
            </w:tr>
            <w:tr w:rsidR="00987105" w:rsidRPr="00285CD5" w14:paraId="1F855711" w14:textId="77777777" w:rsidTr="00B94AE1">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45AD0459"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Lantaldea</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198C9304"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w14:paraId="40F0BB46"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6E4D3675"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232F120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w14:paraId="5FD36331"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w14:paraId="4B91480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32EC37F4"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5969D9D3"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Prestakuntza eta gaikuntza orokorra</w:t>
                  </w:r>
                </w:p>
              </w:tc>
              <w:tc>
                <w:tcPr>
                  <w:tcW w:w="1126" w:type="dxa"/>
                  <w:tcBorders>
                    <w:top w:val="nil"/>
                    <w:left w:val="single" w:sz="8" w:space="0" w:color="auto"/>
                    <w:bottom w:val="single" w:sz="4" w:space="0" w:color="auto"/>
                    <w:right w:val="single" w:sz="8" w:space="0" w:color="auto"/>
                  </w:tcBorders>
                  <w:noWrap/>
                  <w:vAlign w:val="bottom"/>
                </w:tcPr>
                <w:p w14:paraId="4CD66BC3" w14:textId="6AA83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58F0F832" w14:textId="524DE48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14,00</w:t>
                  </w:r>
                </w:p>
              </w:tc>
              <w:tc>
                <w:tcPr>
                  <w:tcW w:w="707" w:type="dxa"/>
                  <w:tcBorders>
                    <w:top w:val="nil"/>
                    <w:left w:val="nil"/>
                    <w:bottom w:val="single" w:sz="4" w:space="0" w:color="auto"/>
                    <w:right w:val="single" w:sz="4" w:space="0" w:color="auto"/>
                  </w:tcBorders>
                  <w:noWrap/>
                  <w:vAlign w:val="bottom"/>
                </w:tcPr>
                <w:p w14:paraId="2F6E86A2" w14:textId="1143D406"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11,00</w:t>
                  </w:r>
                </w:p>
              </w:tc>
              <w:tc>
                <w:tcPr>
                  <w:tcW w:w="707" w:type="dxa"/>
                  <w:tcBorders>
                    <w:top w:val="nil"/>
                    <w:left w:val="nil"/>
                    <w:bottom w:val="single" w:sz="4" w:space="0" w:color="auto"/>
                    <w:right w:val="single" w:sz="4" w:space="0" w:color="auto"/>
                  </w:tcBorders>
                  <w:noWrap/>
                  <w:vAlign w:val="bottom"/>
                </w:tcPr>
                <w:p w14:paraId="3E2FC0FB" w14:textId="7229B5A1"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7,00</w:t>
                  </w:r>
                </w:p>
              </w:tc>
              <w:tc>
                <w:tcPr>
                  <w:tcW w:w="730" w:type="dxa"/>
                  <w:tcBorders>
                    <w:top w:val="nil"/>
                    <w:left w:val="nil"/>
                    <w:bottom w:val="single" w:sz="4" w:space="0" w:color="auto"/>
                    <w:right w:val="single" w:sz="4" w:space="0" w:color="auto"/>
                  </w:tcBorders>
                  <w:noWrap/>
                  <w:vAlign w:val="bottom"/>
                </w:tcPr>
                <w:p w14:paraId="490B25A4" w14:textId="4529DE52"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3,00</w:t>
                  </w:r>
                </w:p>
              </w:tc>
              <w:tc>
                <w:tcPr>
                  <w:tcW w:w="1213" w:type="dxa"/>
                  <w:gridSpan w:val="2"/>
                  <w:tcBorders>
                    <w:top w:val="nil"/>
                    <w:left w:val="nil"/>
                    <w:bottom w:val="single" w:sz="4" w:space="0" w:color="auto"/>
                    <w:right w:val="single" w:sz="8" w:space="0" w:color="auto"/>
                  </w:tcBorders>
                  <w:noWrap/>
                  <w:vAlign w:val="bottom"/>
                </w:tcPr>
                <w:p w14:paraId="4BAFD0D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667EE4D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2B2B4FAD" w14:textId="77777777" w:rsidR="00D52E5F" w:rsidRPr="00285CD5" w:rsidRDefault="00D52E5F" w:rsidP="00D52E5F">
                  <w:pPr>
                    <w:rPr>
                      <w:rFonts w:ascii="GalanoGrotesqueAlt-Light" w:hAnsi="GalanoGrotesqueAlt-Light"/>
                      <w:color w:val="000000" w:themeColor="text1"/>
                      <w:sz w:val="16"/>
                      <w:szCs w:val="16"/>
                    </w:rPr>
                  </w:pPr>
                  <w:proofErr w:type="spellStart"/>
                  <w:r w:rsidRPr="00285CD5">
                    <w:rPr>
                      <w:rFonts w:ascii="GalanoGrotesqueAlt-Light" w:hAnsi="GalanoGrotesqueAlt-Light"/>
                      <w:color w:val="000000" w:themeColor="text1"/>
                      <w:sz w:val="16"/>
                      <w:szCs w:val="16"/>
                    </w:rPr>
                    <w:t>Lantalde</w:t>
                  </w:r>
                  <w:proofErr w:type="spellEnd"/>
                  <w:r w:rsidRPr="00285CD5">
                    <w:rPr>
                      <w:rFonts w:ascii="GalanoGrotesqueAlt-Light" w:hAnsi="GalanoGrotesqueAlt-Light"/>
                      <w:color w:val="000000" w:themeColor="text1"/>
                      <w:sz w:val="16"/>
                      <w:szCs w:val="16"/>
                    </w:rPr>
                    <w:t xml:space="preserve"> </w:t>
                  </w:r>
                  <w:proofErr w:type="spellStart"/>
                  <w:r w:rsidRPr="00285CD5">
                    <w:rPr>
                      <w:rFonts w:ascii="GalanoGrotesqueAlt-Light" w:hAnsi="GalanoGrotesqueAlt-Light"/>
                      <w:color w:val="000000" w:themeColor="text1"/>
                      <w:sz w:val="16"/>
                      <w:szCs w:val="16"/>
                    </w:rPr>
                    <w:t>osoaren</w:t>
                  </w:r>
                  <w:proofErr w:type="spellEnd"/>
                  <w:r w:rsidRPr="00285CD5">
                    <w:rPr>
                      <w:rFonts w:ascii="GalanoGrotesqueAlt-Light" w:hAnsi="GalanoGrotesqueAlt-Light"/>
                      <w:color w:val="000000" w:themeColor="text1"/>
                      <w:sz w:val="16"/>
                      <w:szCs w:val="16"/>
                    </w:rPr>
                    <w:t xml:space="preserve"> </w:t>
                  </w:r>
                  <w:proofErr w:type="spellStart"/>
                  <w:r w:rsidRPr="00285CD5">
                    <w:rPr>
                      <w:rFonts w:ascii="GalanoGrotesqueAlt-Light" w:hAnsi="GalanoGrotesqueAlt-Light"/>
                      <w:color w:val="000000" w:themeColor="text1"/>
                      <w:sz w:val="16"/>
                      <w:szCs w:val="16"/>
                    </w:rPr>
                    <w:t>lanbide-esperientzia</w:t>
                  </w:r>
                  <w:proofErr w:type="spellEnd"/>
                </w:p>
              </w:tc>
              <w:tc>
                <w:tcPr>
                  <w:tcW w:w="1126" w:type="dxa"/>
                  <w:tcBorders>
                    <w:top w:val="nil"/>
                    <w:left w:val="single" w:sz="8" w:space="0" w:color="auto"/>
                    <w:bottom w:val="single" w:sz="4" w:space="0" w:color="auto"/>
                    <w:right w:val="single" w:sz="8" w:space="0" w:color="auto"/>
                  </w:tcBorders>
                  <w:noWrap/>
                  <w:vAlign w:val="bottom"/>
                </w:tcPr>
                <w:p w14:paraId="379C76FD" w14:textId="7242BAF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088DAB45" w14:textId="050A9083"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14,00</w:t>
                  </w:r>
                </w:p>
              </w:tc>
              <w:tc>
                <w:tcPr>
                  <w:tcW w:w="707" w:type="dxa"/>
                  <w:tcBorders>
                    <w:top w:val="nil"/>
                    <w:left w:val="nil"/>
                    <w:bottom w:val="single" w:sz="4" w:space="0" w:color="auto"/>
                    <w:right w:val="single" w:sz="4" w:space="0" w:color="auto"/>
                  </w:tcBorders>
                  <w:noWrap/>
                  <w:vAlign w:val="bottom"/>
                </w:tcPr>
                <w:p w14:paraId="3DF023FF" w14:textId="0156A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11,00</w:t>
                  </w:r>
                </w:p>
              </w:tc>
              <w:tc>
                <w:tcPr>
                  <w:tcW w:w="707" w:type="dxa"/>
                  <w:tcBorders>
                    <w:top w:val="nil"/>
                    <w:left w:val="nil"/>
                    <w:bottom w:val="single" w:sz="4" w:space="0" w:color="auto"/>
                    <w:right w:val="single" w:sz="4" w:space="0" w:color="auto"/>
                  </w:tcBorders>
                  <w:noWrap/>
                  <w:vAlign w:val="bottom"/>
                </w:tcPr>
                <w:p w14:paraId="40A1D4BD" w14:textId="744C4BB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7,00</w:t>
                  </w:r>
                </w:p>
              </w:tc>
              <w:tc>
                <w:tcPr>
                  <w:tcW w:w="730" w:type="dxa"/>
                  <w:tcBorders>
                    <w:top w:val="nil"/>
                    <w:left w:val="nil"/>
                    <w:bottom w:val="single" w:sz="4" w:space="0" w:color="auto"/>
                    <w:right w:val="single" w:sz="4" w:space="0" w:color="auto"/>
                  </w:tcBorders>
                  <w:noWrap/>
                  <w:vAlign w:val="bottom"/>
                </w:tcPr>
                <w:p w14:paraId="1B6B2E1B" w14:textId="2E02A19A"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3,00</w:t>
                  </w:r>
                </w:p>
              </w:tc>
              <w:tc>
                <w:tcPr>
                  <w:tcW w:w="1213" w:type="dxa"/>
                  <w:gridSpan w:val="2"/>
                  <w:tcBorders>
                    <w:top w:val="nil"/>
                    <w:left w:val="nil"/>
                    <w:bottom w:val="single" w:sz="4" w:space="0" w:color="auto"/>
                    <w:right w:val="single" w:sz="8" w:space="0" w:color="auto"/>
                  </w:tcBorders>
                  <w:noWrap/>
                  <w:vAlign w:val="bottom"/>
                </w:tcPr>
                <w:p w14:paraId="79D4744F"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1F295B1C" w14:textId="77777777" w:rsidTr="00B94AE1">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6D35117E"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Memoria teknikoa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27ED0D41" w14:textId="4E6C8843"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22</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w14:paraId="4C22417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59365DAD"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15B4A1D2"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w14:paraId="4DB0C550"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w14:paraId="118E679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12160693"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109904A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Zerbitzuaren antolaketa, erantzun-denborak eta langileen prestasun-maila</w:t>
                  </w:r>
                </w:p>
              </w:tc>
              <w:tc>
                <w:tcPr>
                  <w:tcW w:w="1126" w:type="dxa"/>
                  <w:tcBorders>
                    <w:top w:val="nil"/>
                    <w:left w:val="single" w:sz="8" w:space="0" w:color="auto"/>
                    <w:bottom w:val="single" w:sz="4" w:space="0" w:color="auto"/>
                    <w:right w:val="single" w:sz="8" w:space="0" w:color="auto"/>
                  </w:tcBorders>
                  <w:noWrap/>
                  <w:vAlign w:val="bottom"/>
                </w:tcPr>
                <w:p w14:paraId="59557A4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w:t>
                  </w:r>
                </w:p>
              </w:tc>
              <w:tc>
                <w:tcPr>
                  <w:tcW w:w="1006" w:type="dxa"/>
                  <w:tcBorders>
                    <w:top w:val="nil"/>
                    <w:left w:val="single" w:sz="8" w:space="0" w:color="auto"/>
                    <w:bottom w:val="single" w:sz="4" w:space="0" w:color="auto"/>
                    <w:right w:val="single" w:sz="4" w:space="0" w:color="auto"/>
                  </w:tcBorders>
                  <w:noWrap/>
                  <w:vAlign w:val="bottom"/>
                </w:tcPr>
                <w:p w14:paraId="3F41B5D0"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12,00</w:t>
                  </w:r>
                </w:p>
              </w:tc>
              <w:tc>
                <w:tcPr>
                  <w:tcW w:w="707" w:type="dxa"/>
                  <w:tcBorders>
                    <w:top w:val="nil"/>
                    <w:left w:val="nil"/>
                    <w:bottom w:val="single" w:sz="4" w:space="0" w:color="auto"/>
                    <w:right w:val="single" w:sz="4" w:space="0" w:color="auto"/>
                  </w:tcBorders>
                  <w:noWrap/>
                  <w:vAlign w:val="bottom"/>
                </w:tcPr>
                <w:p w14:paraId="56E8BE3C"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9,00</w:t>
                  </w:r>
                </w:p>
              </w:tc>
              <w:tc>
                <w:tcPr>
                  <w:tcW w:w="707" w:type="dxa"/>
                  <w:tcBorders>
                    <w:top w:val="nil"/>
                    <w:left w:val="nil"/>
                    <w:bottom w:val="single" w:sz="4" w:space="0" w:color="auto"/>
                    <w:right w:val="single" w:sz="4" w:space="0" w:color="auto"/>
                  </w:tcBorders>
                  <w:noWrap/>
                  <w:vAlign w:val="bottom"/>
                </w:tcPr>
                <w:p w14:paraId="39D6DD30"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30" w:type="dxa"/>
                  <w:tcBorders>
                    <w:top w:val="nil"/>
                    <w:left w:val="nil"/>
                    <w:bottom w:val="single" w:sz="4" w:space="0" w:color="auto"/>
                    <w:right w:val="single" w:sz="4" w:space="0" w:color="auto"/>
                  </w:tcBorders>
                  <w:noWrap/>
                  <w:vAlign w:val="bottom"/>
                </w:tcPr>
                <w:p w14:paraId="02F048A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3,00</w:t>
                  </w:r>
                </w:p>
              </w:tc>
              <w:tc>
                <w:tcPr>
                  <w:tcW w:w="1213" w:type="dxa"/>
                  <w:gridSpan w:val="2"/>
                  <w:tcBorders>
                    <w:top w:val="nil"/>
                    <w:left w:val="nil"/>
                    <w:bottom w:val="single" w:sz="4" w:space="0" w:color="auto"/>
                    <w:right w:val="single" w:sz="8" w:space="0" w:color="auto"/>
                  </w:tcBorders>
                  <w:noWrap/>
                  <w:vAlign w:val="bottom"/>
                </w:tcPr>
                <w:p w14:paraId="57206D82"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0C78FF4F" w14:textId="77777777" w:rsidTr="00A02410">
              <w:trPr>
                <w:trHeight w:val="126"/>
              </w:trPr>
              <w:tc>
                <w:tcPr>
                  <w:tcW w:w="1405" w:type="dxa"/>
                  <w:tcBorders>
                    <w:top w:val="nil"/>
                    <w:left w:val="single" w:sz="8" w:space="0" w:color="auto"/>
                    <w:bottom w:val="nil"/>
                    <w:right w:val="nil"/>
                  </w:tcBorders>
                  <w:noWrap/>
                  <w:vAlign w:val="bottom"/>
                  <w:hideMark/>
                </w:tcPr>
                <w:p w14:paraId="7206E08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Lanaren plangintza eta esleitutako baliabideekiko koherentzia</w:t>
                  </w:r>
                </w:p>
              </w:tc>
              <w:tc>
                <w:tcPr>
                  <w:tcW w:w="1126" w:type="dxa"/>
                  <w:tcBorders>
                    <w:top w:val="nil"/>
                    <w:left w:val="single" w:sz="8" w:space="0" w:color="auto"/>
                    <w:bottom w:val="nil"/>
                    <w:right w:val="single" w:sz="8" w:space="0" w:color="auto"/>
                  </w:tcBorders>
                  <w:noWrap/>
                  <w:vAlign w:val="bottom"/>
                </w:tcPr>
                <w:p w14:paraId="0CE1BFC5"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w:t>
                  </w:r>
                </w:p>
              </w:tc>
              <w:tc>
                <w:tcPr>
                  <w:tcW w:w="1006" w:type="dxa"/>
                  <w:tcBorders>
                    <w:top w:val="nil"/>
                    <w:left w:val="single" w:sz="8" w:space="0" w:color="auto"/>
                    <w:bottom w:val="nil"/>
                    <w:right w:val="single" w:sz="4" w:space="0" w:color="auto"/>
                  </w:tcBorders>
                  <w:noWrap/>
                  <w:vAlign w:val="bottom"/>
                </w:tcPr>
                <w:p w14:paraId="4B8698BF"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8,00</w:t>
                  </w:r>
                </w:p>
              </w:tc>
              <w:tc>
                <w:tcPr>
                  <w:tcW w:w="707" w:type="dxa"/>
                  <w:tcBorders>
                    <w:top w:val="nil"/>
                    <w:left w:val="nil"/>
                    <w:bottom w:val="nil"/>
                    <w:right w:val="single" w:sz="4" w:space="0" w:color="auto"/>
                  </w:tcBorders>
                  <w:noWrap/>
                  <w:vAlign w:val="bottom"/>
                </w:tcPr>
                <w:p w14:paraId="059EA95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07" w:type="dxa"/>
                  <w:tcBorders>
                    <w:top w:val="nil"/>
                    <w:left w:val="nil"/>
                    <w:bottom w:val="nil"/>
                    <w:right w:val="single" w:sz="4" w:space="0" w:color="auto"/>
                  </w:tcBorders>
                  <w:noWrap/>
                  <w:vAlign w:val="bottom"/>
                </w:tcPr>
                <w:p w14:paraId="32D3FD53"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4,00</w:t>
                  </w:r>
                </w:p>
              </w:tc>
              <w:tc>
                <w:tcPr>
                  <w:tcW w:w="730" w:type="dxa"/>
                  <w:tcBorders>
                    <w:top w:val="nil"/>
                    <w:left w:val="nil"/>
                    <w:bottom w:val="nil"/>
                    <w:right w:val="single" w:sz="4" w:space="0" w:color="auto"/>
                  </w:tcBorders>
                  <w:noWrap/>
                  <w:vAlign w:val="bottom"/>
                </w:tcPr>
                <w:p w14:paraId="09AA16E6"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2,00</w:t>
                  </w:r>
                </w:p>
              </w:tc>
              <w:tc>
                <w:tcPr>
                  <w:tcW w:w="1213" w:type="dxa"/>
                  <w:gridSpan w:val="2"/>
                  <w:tcBorders>
                    <w:top w:val="nil"/>
                    <w:left w:val="nil"/>
                    <w:bottom w:val="nil"/>
                    <w:right w:val="single" w:sz="8" w:space="0" w:color="auto"/>
                  </w:tcBorders>
                  <w:noWrap/>
                  <w:vAlign w:val="bottom"/>
                </w:tcPr>
                <w:p w14:paraId="5D3D1C71"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A02410" w:rsidRPr="00285CD5" w14:paraId="6D9495FB" w14:textId="77777777" w:rsidTr="00A02410">
              <w:trPr>
                <w:trHeight w:val="126"/>
              </w:trPr>
              <w:tc>
                <w:tcPr>
                  <w:tcW w:w="1405" w:type="dxa"/>
                  <w:tcBorders>
                    <w:top w:val="nil"/>
                    <w:left w:val="single" w:sz="8" w:space="0" w:color="auto"/>
                    <w:bottom w:val="single" w:sz="4" w:space="0" w:color="auto"/>
                    <w:right w:val="nil"/>
                  </w:tcBorders>
                  <w:noWrap/>
                  <w:vAlign w:val="bottom"/>
                </w:tcPr>
                <w:p w14:paraId="189EEFC3" w14:textId="77777777" w:rsidR="00A02410" w:rsidRPr="00285CD5" w:rsidRDefault="00A02410" w:rsidP="00D52E5F">
                  <w:pPr>
                    <w:rPr>
                      <w:rFonts w:ascii="GalanoGrotesqueAlt-Light" w:hAnsi="GalanoGrotesqueAlt-Light"/>
                      <w:color w:val="000000" w:themeColor="text1"/>
                      <w:sz w:val="16"/>
                      <w:szCs w:val="16"/>
                    </w:rPr>
                  </w:pPr>
                </w:p>
              </w:tc>
              <w:tc>
                <w:tcPr>
                  <w:tcW w:w="1126" w:type="dxa"/>
                  <w:tcBorders>
                    <w:top w:val="nil"/>
                    <w:left w:val="single" w:sz="8" w:space="0" w:color="auto"/>
                    <w:bottom w:val="single" w:sz="4" w:space="0" w:color="auto"/>
                    <w:right w:val="single" w:sz="8" w:space="0" w:color="auto"/>
                  </w:tcBorders>
                  <w:noWrap/>
                  <w:vAlign w:val="bottom"/>
                </w:tcPr>
                <w:p w14:paraId="2460C683" w14:textId="77777777" w:rsidR="00A02410" w:rsidRPr="00285CD5" w:rsidRDefault="00A02410" w:rsidP="00D52E5F">
                  <w:pPr>
                    <w:jc w:val="right"/>
                    <w:rPr>
                      <w:rFonts w:ascii="GalanoGrotesqueAlt-Light" w:hAnsi="GalanoGrotesqueAlt-Light"/>
                      <w:color w:val="000000" w:themeColor="text1"/>
                      <w:sz w:val="16"/>
                      <w:szCs w:val="16"/>
                    </w:rPr>
                  </w:pPr>
                </w:p>
              </w:tc>
              <w:tc>
                <w:tcPr>
                  <w:tcW w:w="1006" w:type="dxa"/>
                  <w:tcBorders>
                    <w:top w:val="nil"/>
                    <w:left w:val="single" w:sz="8" w:space="0" w:color="auto"/>
                    <w:bottom w:val="single" w:sz="4" w:space="0" w:color="auto"/>
                    <w:right w:val="single" w:sz="4" w:space="0" w:color="auto"/>
                  </w:tcBorders>
                  <w:noWrap/>
                  <w:vAlign w:val="bottom"/>
                </w:tcPr>
                <w:p w14:paraId="2FAC4BAF" w14:textId="77777777" w:rsidR="00A02410" w:rsidRPr="00285CD5" w:rsidRDefault="00A02410" w:rsidP="00D52E5F">
                  <w:pPr>
                    <w:jc w:val="right"/>
                    <w:rPr>
                      <w:rFonts w:ascii="GalanoGrotesqueAlt-Light" w:hAnsi="GalanoGrotesqueAlt-Light"/>
                      <w:color w:val="000000" w:themeColor="text1"/>
                      <w:sz w:val="16"/>
                      <w:szCs w:val="16"/>
                    </w:rPr>
                  </w:pPr>
                </w:p>
              </w:tc>
              <w:tc>
                <w:tcPr>
                  <w:tcW w:w="707" w:type="dxa"/>
                  <w:tcBorders>
                    <w:top w:val="nil"/>
                    <w:left w:val="nil"/>
                    <w:bottom w:val="single" w:sz="4" w:space="0" w:color="auto"/>
                    <w:right w:val="single" w:sz="4" w:space="0" w:color="auto"/>
                  </w:tcBorders>
                  <w:noWrap/>
                  <w:vAlign w:val="bottom"/>
                </w:tcPr>
                <w:p w14:paraId="7FE045F9" w14:textId="77777777" w:rsidR="00A02410" w:rsidRPr="00285CD5" w:rsidRDefault="00A02410" w:rsidP="00D52E5F">
                  <w:pPr>
                    <w:jc w:val="right"/>
                    <w:rPr>
                      <w:rFonts w:ascii="GalanoGrotesqueAlt-Light" w:hAnsi="GalanoGrotesqueAlt-Light"/>
                      <w:color w:val="000000" w:themeColor="text1"/>
                      <w:sz w:val="16"/>
                      <w:szCs w:val="16"/>
                    </w:rPr>
                  </w:pPr>
                </w:p>
              </w:tc>
              <w:tc>
                <w:tcPr>
                  <w:tcW w:w="707" w:type="dxa"/>
                  <w:tcBorders>
                    <w:top w:val="nil"/>
                    <w:left w:val="nil"/>
                    <w:bottom w:val="single" w:sz="4" w:space="0" w:color="auto"/>
                    <w:right w:val="single" w:sz="4" w:space="0" w:color="auto"/>
                  </w:tcBorders>
                  <w:noWrap/>
                  <w:vAlign w:val="bottom"/>
                </w:tcPr>
                <w:p w14:paraId="59E953A6" w14:textId="77777777" w:rsidR="00A02410" w:rsidRPr="00285CD5" w:rsidRDefault="00A02410" w:rsidP="00D52E5F">
                  <w:pPr>
                    <w:jc w:val="right"/>
                    <w:rPr>
                      <w:rFonts w:ascii="GalanoGrotesqueAlt-Light" w:hAnsi="GalanoGrotesqueAlt-Light"/>
                      <w:color w:val="000000" w:themeColor="text1"/>
                      <w:sz w:val="16"/>
                      <w:szCs w:val="16"/>
                    </w:rPr>
                  </w:pPr>
                </w:p>
              </w:tc>
              <w:tc>
                <w:tcPr>
                  <w:tcW w:w="730" w:type="dxa"/>
                  <w:tcBorders>
                    <w:top w:val="nil"/>
                    <w:left w:val="nil"/>
                    <w:bottom w:val="single" w:sz="4" w:space="0" w:color="auto"/>
                    <w:right w:val="single" w:sz="4" w:space="0" w:color="auto"/>
                  </w:tcBorders>
                  <w:noWrap/>
                  <w:vAlign w:val="bottom"/>
                </w:tcPr>
                <w:p w14:paraId="673ADA40" w14:textId="77777777" w:rsidR="00A02410" w:rsidRPr="00285CD5" w:rsidRDefault="00A02410" w:rsidP="00D52E5F">
                  <w:pPr>
                    <w:jc w:val="right"/>
                    <w:rPr>
                      <w:rFonts w:ascii="GalanoGrotesqueAlt-Light" w:hAnsi="GalanoGrotesqueAlt-Light"/>
                      <w:color w:val="000000" w:themeColor="text1"/>
                      <w:sz w:val="16"/>
                      <w:szCs w:val="16"/>
                    </w:rPr>
                  </w:pPr>
                </w:p>
              </w:tc>
              <w:tc>
                <w:tcPr>
                  <w:tcW w:w="1213" w:type="dxa"/>
                  <w:gridSpan w:val="2"/>
                  <w:tcBorders>
                    <w:top w:val="nil"/>
                    <w:left w:val="nil"/>
                    <w:bottom w:val="single" w:sz="4" w:space="0" w:color="auto"/>
                    <w:right w:val="single" w:sz="8" w:space="0" w:color="auto"/>
                  </w:tcBorders>
                  <w:noWrap/>
                  <w:vAlign w:val="bottom"/>
                </w:tcPr>
                <w:p w14:paraId="57D3A603" w14:textId="77777777" w:rsidR="00A02410" w:rsidRPr="00285CD5" w:rsidRDefault="00A02410" w:rsidP="00D52E5F">
                  <w:pPr>
                    <w:jc w:val="center"/>
                    <w:rPr>
                      <w:rFonts w:ascii="GalanoGrotesqueAlt-Light" w:hAnsi="GalanoGrotesqueAlt-Light"/>
                      <w:color w:val="000000" w:themeColor="text1"/>
                      <w:sz w:val="16"/>
                      <w:szCs w:val="16"/>
                    </w:rPr>
                  </w:pPr>
                </w:p>
              </w:tc>
            </w:tr>
            <w:tr w:rsidR="00A02410" w:rsidRPr="00285CD5" w14:paraId="71B88807" w14:textId="77777777" w:rsidTr="00A02410">
              <w:trPr>
                <w:trHeight w:val="126"/>
              </w:trPr>
              <w:tc>
                <w:tcPr>
                  <w:tcW w:w="1405" w:type="dxa"/>
                  <w:tcBorders>
                    <w:top w:val="single" w:sz="4" w:space="0" w:color="auto"/>
                    <w:left w:val="single" w:sz="8" w:space="0" w:color="auto"/>
                    <w:bottom w:val="single" w:sz="4" w:space="0" w:color="auto"/>
                    <w:right w:val="nil"/>
                  </w:tcBorders>
                  <w:noWrap/>
                  <w:vAlign w:val="bottom"/>
                </w:tcPr>
                <w:p w14:paraId="14FEE29B" w14:textId="18F16916" w:rsidR="00A02410" w:rsidRPr="00285CD5" w:rsidRDefault="00A02410" w:rsidP="00D52E5F">
                  <w:pPr>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Hobekuntza-proposamenak</w:t>
                  </w:r>
                </w:p>
              </w:tc>
              <w:tc>
                <w:tcPr>
                  <w:tcW w:w="1126" w:type="dxa"/>
                  <w:tcBorders>
                    <w:top w:val="single" w:sz="4" w:space="0" w:color="auto"/>
                    <w:left w:val="single" w:sz="8" w:space="0" w:color="auto"/>
                    <w:bottom w:val="single" w:sz="4" w:space="0" w:color="auto"/>
                    <w:right w:val="single" w:sz="8" w:space="0" w:color="auto"/>
                  </w:tcBorders>
                  <w:noWrap/>
                  <w:vAlign w:val="bottom"/>
                </w:tcPr>
                <w:p w14:paraId="1147FEA5" w14:textId="005941D8" w:rsidR="00A02410" w:rsidRPr="00285CD5" w:rsidRDefault="00A02410"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2</w:t>
                  </w:r>
                </w:p>
              </w:tc>
              <w:tc>
                <w:tcPr>
                  <w:tcW w:w="1006" w:type="dxa"/>
                  <w:tcBorders>
                    <w:top w:val="single" w:sz="4" w:space="0" w:color="auto"/>
                    <w:left w:val="single" w:sz="8" w:space="0" w:color="auto"/>
                    <w:bottom w:val="single" w:sz="4" w:space="0" w:color="auto"/>
                    <w:right w:val="single" w:sz="4" w:space="0" w:color="auto"/>
                  </w:tcBorders>
                  <w:noWrap/>
                  <w:vAlign w:val="bottom"/>
                </w:tcPr>
                <w:p w14:paraId="1200CB79" w14:textId="7A3BEC5A" w:rsidR="00A02410" w:rsidRPr="00285CD5" w:rsidRDefault="00A02410"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2,00</w:t>
                  </w:r>
                </w:p>
              </w:tc>
              <w:tc>
                <w:tcPr>
                  <w:tcW w:w="707" w:type="dxa"/>
                  <w:tcBorders>
                    <w:top w:val="single" w:sz="4" w:space="0" w:color="auto"/>
                    <w:left w:val="nil"/>
                    <w:bottom w:val="single" w:sz="4" w:space="0" w:color="auto"/>
                    <w:right w:val="single" w:sz="4" w:space="0" w:color="auto"/>
                  </w:tcBorders>
                  <w:noWrap/>
                  <w:vAlign w:val="bottom"/>
                </w:tcPr>
                <w:p w14:paraId="438A9808" w14:textId="3223A7FE" w:rsidR="00A02410" w:rsidRPr="00285CD5" w:rsidRDefault="00A02410"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1,00</w:t>
                  </w:r>
                </w:p>
              </w:tc>
              <w:tc>
                <w:tcPr>
                  <w:tcW w:w="707" w:type="dxa"/>
                  <w:tcBorders>
                    <w:top w:val="single" w:sz="4" w:space="0" w:color="auto"/>
                    <w:left w:val="nil"/>
                    <w:bottom w:val="single" w:sz="4" w:space="0" w:color="auto"/>
                    <w:right w:val="single" w:sz="4" w:space="0" w:color="auto"/>
                  </w:tcBorders>
                  <w:noWrap/>
                  <w:vAlign w:val="bottom"/>
                </w:tcPr>
                <w:p w14:paraId="36F731CA" w14:textId="61D965FB" w:rsidR="00A02410" w:rsidRPr="00285CD5" w:rsidRDefault="00A02410"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c>
                <w:tcPr>
                  <w:tcW w:w="730" w:type="dxa"/>
                  <w:tcBorders>
                    <w:top w:val="single" w:sz="4" w:space="0" w:color="auto"/>
                    <w:left w:val="nil"/>
                    <w:bottom w:val="single" w:sz="4" w:space="0" w:color="auto"/>
                    <w:right w:val="single" w:sz="4" w:space="0" w:color="auto"/>
                  </w:tcBorders>
                  <w:noWrap/>
                  <w:vAlign w:val="bottom"/>
                </w:tcPr>
                <w:p w14:paraId="443DE5C7" w14:textId="409DB152" w:rsidR="00A02410" w:rsidRPr="00285CD5" w:rsidRDefault="00A02410"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c>
                <w:tcPr>
                  <w:tcW w:w="1213" w:type="dxa"/>
                  <w:gridSpan w:val="2"/>
                  <w:tcBorders>
                    <w:top w:val="single" w:sz="4" w:space="0" w:color="auto"/>
                    <w:left w:val="nil"/>
                    <w:bottom w:val="single" w:sz="4" w:space="0" w:color="auto"/>
                    <w:right w:val="single" w:sz="8" w:space="0" w:color="auto"/>
                  </w:tcBorders>
                  <w:noWrap/>
                  <w:vAlign w:val="bottom"/>
                </w:tcPr>
                <w:p w14:paraId="15A4E381" w14:textId="18CDE78A" w:rsidR="00A02410" w:rsidRPr="00285CD5" w:rsidRDefault="00A02410"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bl>
          <w:p w14:paraId="6BAA8EF9" w14:textId="093BCC83" w:rsidR="00CE0D49" w:rsidRDefault="00CE0D49" w:rsidP="00B039AB">
            <w:pPr>
              <w:spacing w:before="120" w:after="120"/>
              <w:ind w:hanging="1"/>
              <w:jc w:val="both"/>
              <w:rPr>
                <w:rFonts w:ascii="GalanoGrotesqueAlt-Light" w:hAnsi="GalanoGrotesqueAlt-Light"/>
                <w:sz w:val="16"/>
                <w:szCs w:val="16"/>
              </w:rPr>
            </w:pPr>
          </w:p>
          <w:p w14:paraId="25A117A5" w14:textId="77777777" w:rsidR="00441FED" w:rsidRPr="00285CD5" w:rsidRDefault="00441FED" w:rsidP="00B039AB">
            <w:pPr>
              <w:spacing w:before="120" w:after="120"/>
              <w:ind w:hanging="1"/>
              <w:jc w:val="both"/>
              <w:rPr>
                <w:rFonts w:ascii="GalanoGrotesqueAlt-Light" w:hAnsi="GalanoGrotesqueAlt-Light"/>
                <w:sz w:val="16"/>
                <w:szCs w:val="16"/>
              </w:rPr>
            </w:pPr>
          </w:p>
          <w:p w14:paraId="3C316DDE" w14:textId="391680E2" w:rsidR="001E2F33" w:rsidRPr="00285CD5" w:rsidRDefault="001E2F33" w:rsidP="001E2F33">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LANTALDEA (gehienez 28 puntu).</w:t>
            </w:r>
          </w:p>
          <w:p w14:paraId="6AA1835F"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45F0DBCA" w14:textId="35FE4D6A"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Prestakuntza eta gaikuntza orokorra (gehienez 14 puntu):</w:t>
            </w:r>
          </w:p>
          <w:p w14:paraId="038BB6B5"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326B887E" w14:textId="01597306" w:rsidR="001E2F33" w:rsidRPr="00285CD5" w:rsidRDefault="001E2F33" w:rsidP="001E2F33">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Bikaina: 14, ona: 11, ertaina: 7, oinarrizkoa: 3, ez da aurkezten edo ez dagokio: 0</w:t>
            </w:r>
          </w:p>
          <w:p w14:paraId="626025B5" w14:textId="7AF3443D"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Zerbitzuak emateko proposatutako lantaldeak prestakuntza eta gaikuntza oso egokiak ditu, eta balio handia ematen dio zerbitzuari. </w:t>
            </w:r>
          </w:p>
          <w:p w14:paraId="1D938C17" w14:textId="18258B6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Ona: Zerbitzuak emateko proposatutako lantaldeak prestakuntza eta gaikuntza egokiak ditu, eta kalitatea ematen dio zerbitzuari.</w:t>
            </w:r>
          </w:p>
          <w:p w14:paraId="40720115" w14:textId="66C54B5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Ertaina: Zerbitzuak emateko proposatutako lantaldeak behar besteko prestakuntza eta gaikuntza ditu.</w:t>
            </w:r>
          </w:p>
          <w:p w14:paraId="70A05B57" w14:textId="044B354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Oinarrizkoa: Zerbitzuak emateko proposatutako lantaldeak oinarrizko prestakuntza eta gaikuntza ditu, baina horiek ez dira nahikoak zerbitzuari balioa emateko.</w:t>
            </w:r>
          </w:p>
          <w:p w14:paraId="52DD1B34" w14:textId="3BC57901"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Ez da aurkezten edo ez dagokio: Zerbitzuak emateko proposatutako lantaldeak ez du prestakuntzarik, ezta gaikuntzarik ere.</w:t>
            </w:r>
          </w:p>
          <w:p w14:paraId="07698AD0" w14:textId="77777777" w:rsidR="001E2F33" w:rsidRPr="00285CD5" w:rsidRDefault="001E2F33" w:rsidP="001E2F33">
            <w:pPr>
              <w:spacing w:before="120" w:after="120"/>
              <w:ind w:hanging="1"/>
              <w:jc w:val="both"/>
              <w:rPr>
                <w:rFonts w:ascii="GalanoGrotesqueAlt-Light" w:hAnsi="GalanoGrotesqueAlt-Light"/>
                <w:sz w:val="16"/>
                <w:szCs w:val="16"/>
              </w:rPr>
            </w:pPr>
          </w:p>
          <w:p w14:paraId="76FEF6C5" w14:textId="5F9E63A7"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Lantalde osoaren lanbide-esperientzia (gehienez 14 puntu):</w:t>
            </w:r>
          </w:p>
          <w:p w14:paraId="066A26D6" w14:textId="77777777" w:rsidR="00285CD5" w:rsidRDefault="00285CD5" w:rsidP="001E2F33">
            <w:pPr>
              <w:pStyle w:val="Prrafodelista"/>
              <w:spacing w:before="120" w:after="120"/>
              <w:jc w:val="both"/>
              <w:rPr>
                <w:rFonts w:ascii="GalanoGrotesqueAlt-Light" w:hAnsi="GalanoGrotesqueAlt-Light"/>
                <w:sz w:val="16"/>
                <w:szCs w:val="16"/>
              </w:rPr>
            </w:pPr>
          </w:p>
          <w:p w14:paraId="2E4DE006" w14:textId="03BBBFF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Bikaina: 14, ona: 11, ertaina: 7, oinarrizkoa: 3, ez da aurkezten edo ez dagokio: 0</w:t>
            </w:r>
          </w:p>
          <w:p w14:paraId="7C9814C7" w14:textId="62DAEBD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Lantaldeak, oro har, lanbide-esperientzia bikaina du eskaintza aurkezten duen lizitazio-lotearen antzeko proiektuetan, eta balio handia ematen dio zerbitzuari. </w:t>
            </w:r>
          </w:p>
          <w:p w14:paraId="716204E2" w14:textId="6772DB5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Ona: Lantaldeak, oro har, lanbide-esperientzia oso egokia du eskaintza aurkezten duen lizitazio-lotearen antzeko proiektuetan, eta kalitatea ematen dio zerbitzuari.</w:t>
            </w:r>
          </w:p>
          <w:p w14:paraId="58625633" w14:textId="6435690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Ertaina: Lantaldeak, oro har, lanbide-esperientzia egokia du eskaintza aurkezten duen lizitazio-lotearen antzeko proiektuetan.</w:t>
            </w:r>
          </w:p>
          <w:p w14:paraId="4F91C55B" w14:textId="4CA47734"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Oinarrizkoa: Lantaldeak, oro har, lanbide-esperientzia urria du eskaintza aurkezten duen lizitazio-lotearen antzeko proiektuetan.</w:t>
            </w:r>
          </w:p>
          <w:p w14:paraId="264D244E" w14:textId="674FB45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Ez da aurkezten edo ez dagokio: Lantaldeak ez du lanbide-esperientziarik eskaintza aurkezten duen lizitazio-lotearen antzeko proiektuetan.</w:t>
            </w:r>
          </w:p>
          <w:p w14:paraId="78767B8E" w14:textId="77777777" w:rsidR="001E2F33" w:rsidRPr="00285CD5" w:rsidRDefault="001E2F33" w:rsidP="001E2F33">
            <w:pPr>
              <w:spacing w:before="120" w:after="120"/>
              <w:ind w:hanging="1"/>
              <w:jc w:val="both"/>
              <w:rPr>
                <w:rFonts w:ascii="GalanoGrotesqueAlt-Light" w:hAnsi="GalanoGrotesqueAlt-Light"/>
                <w:sz w:val="16"/>
                <w:szCs w:val="16"/>
              </w:rPr>
            </w:pPr>
          </w:p>
          <w:p w14:paraId="2C027164" w14:textId="3379E809" w:rsidR="002C7079" w:rsidRPr="00285CD5" w:rsidRDefault="00285CD5" w:rsidP="00285CD5">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*Baldintza Teknikoen Pleguak eta azal honetako egikaritze-baldintza bereziek adierazitakoaren arabera, ez dira onartuko lantaldean euskarako C1 mailako gutxieneko hizkuntza-profila eskaintzen ez duten proposamenak, zerbitzua osorik euskaraz emateko aukera bermatuz. </w:t>
            </w:r>
          </w:p>
          <w:p w14:paraId="7F8BEE60" w14:textId="66C765D4" w:rsidR="001E2F33" w:rsidRPr="00285CD5" w:rsidRDefault="00285CD5" w:rsidP="001E2F33">
            <w:pPr>
              <w:spacing w:before="120" w:after="120"/>
              <w:ind w:hanging="1"/>
              <w:jc w:val="both"/>
              <w:rPr>
                <w:rFonts w:ascii="GalanoGrotesqueAlt-Light" w:hAnsi="GalanoGrotesqueAlt-Light"/>
                <w:sz w:val="16"/>
                <w:szCs w:val="16"/>
              </w:rPr>
            </w:pPr>
            <w:r>
              <w:rPr>
                <w:rFonts w:ascii="GalanoGrotesqueAlt-Light" w:hAnsi="GalanoGrotesqueAlt-Light"/>
                <w:sz w:val="16"/>
                <w:szCs w:val="16"/>
              </w:rPr>
              <w:t xml:space="preserve">*Aurreko loteetako bakoitzaren buru edo zuzendari diren pertsonek 10 urtetik gorako esperientzia egiaztatua izan beharko dute dagokien sektorean. Esperientzia hori </w:t>
            </w:r>
            <w:r w:rsidR="00FC4E49" w:rsidRPr="00285CD5">
              <w:rPr>
                <w:rFonts w:ascii="GalanoGrotesqueAlt-Light" w:hAnsi="GalanoGrotesqueAlt-Light"/>
                <w:i/>
                <w:iCs/>
                <w:sz w:val="16"/>
                <w:szCs w:val="16"/>
              </w:rPr>
              <w:t>curriculum vitae</w:t>
            </w:r>
            <w:r>
              <w:rPr>
                <w:rFonts w:ascii="GalanoGrotesqueAlt-Light" w:hAnsi="GalanoGrotesqueAlt-Light"/>
                <w:sz w:val="16"/>
                <w:szCs w:val="16"/>
              </w:rPr>
              <w:t xml:space="preserve"> bidez egiaztatu beharko da</w:t>
            </w:r>
            <w:r w:rsidR="001E2F33" w:rsidRPr="00285CD5">
              <w:rPr>
                <w:rFonts w:ascii="GalanoGrotesqueAlt-Light" w:hAnsi="GalanoGrotesqueAlt-Light"/>
                <w:sz w:val="16"/>
                <w:szCs w:val="16"/>
              </w:rPr>
              <w:t xml:space="preserve">. </w:t>
            </w:r>
          </w:p>
          <w:p w14:paraId="0771C641" w14:textId="77777777" w:rsidR="00FC4E49" w:rsidRPr="00285CD5" w:rsidRDefault="00FC4E49" w:rsidP="001E2F33">
            <w:pPr>
              <w:spacing w:before="120" w:after="120"/>
              <w:ind w:hanging="1"/>
              <w:jc w:val="both"/>
              <w:rPr>
                <w:rFonts w:ascii="GalanoGrotesqueAlt-Light" w:hAnsi="GalanoGrotesqueAlt-Light"/>
                <w:sz w:val="16"/>
                <w:szCs w:val="16"/>
              </w:rPr>
            </w:pPr>
          </w:p>
          <w:p w14:paraId="5B162D13" w14:textId="5C3F5195" w:rsidR="001E2F33" w:rsidRPr="00285CD5" w:rsidRDefault="00FC4E49" w:rsidP="00FC4E49">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MEMORIA TEKNIKOA (gehienez 22 puntu).</w:t>
            </w:r>
          </w:p>
          <w:p w14:paraId="23F4C449" w14:textId="77777777" w:rsidR="001E2F33" w:rsidRPr="00285CD5" w:rsidRDefault="001E2F33" w:rsidP="001E2F33">
            <w:pPr>
              <w:spacing w:before="120" w:after="120"/>
              <w:ind w:hanging="1"/>
              <w:jc w:val="both"/>
              <w:rPr>
                <w:rFonts w:ascii="GalanoGrotesqueAlt-Light" w:hAnsi="GalanoGrotesqueAlt-Light"/>
                <w:sz w:val="16"/>
                <w:szCs w:val="16"/>
              </w:rPr>
            </w:pPr>
          </w:p>
          <w:p w14:paraId="001AED21" w14:textId="7ADC843F"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Zerbitzuaren antolaketa, erantzun-denborak eta langileen prestasun-maila (gehienez 12 puntu):</w:t>
            </w:r>
          </w:p>
          <w:p w14:paraId="5B4BA9B2" w14:textId="77777777" w:rsidR="00FC4E49" w:rsidRPr="00285CD5" w:rsidRDefault="00FC4E49" w:rsidP="00FC4E49">
            <w:pPr>
              <w:pStyle w:val="Prrafodelista"/>
              <w:spacing w:before="120" w:after="120"/>
              <w:jc w:val="both"/>
              <w:rPr>
                <w:rFonts w:ascii="GalanoGrotesqueAlt-Light" w:hAnsi="GalanoGrotesqueAlt-Light"/>
                <w:b/>
                <w:bCs/>
                <w:sz w:val="16"/>
                <w:szCs w:val="16"/>
              </w:rPr>
            </w:pPr>
          </w:p>
          <w:p w14:paraId="2407BED7" w14:textId="21D86338"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Bikaina: 12, ona: 9, ertaina: 6, oinarrizkoa: 3, ez da aurkezten edo ez dagokio: 0</w:t>
            </w:r>
          </w:p>
          <w:p w14:paraId="58310C42" w14:textId="04C983F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Bikaina: Proposatutako zerbitzu-antolaketak, eskainitako erantzun-denborek eta adierazitako langileen prestasun-mailak Erakunde Kontratatzailearen beharrei erantzuteko gaitasun bikaina erakusten dute. Horrek balio handia ematen dio proposamenari, eta oso erantzun egokia bermatzen du.</w:t>
            </w:r>
          </w:p>
          <w:p w14:paraId="6CB01325" w14:textId="65C600D8"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Ona: Proposatutako zerbitzu-antolaketak, eskainitako erantzun-denborek eta adierazitako langileen prestasun-mailak Erakunde Kontratatzailearen beharrei erantzuteko gaitasun oso egokia erakusten dute. Horrek balioa ematen dio proposamenari, eta erantzun egokia bermatzen du.</w:t>
            </w:r>
          </w:p>
          <w:p w14:paraId="39DB641C" w14:textId="4A0960D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Ertaina: Proposatutako zerbitzu-antolaketak, eskainitako erantzun-denborek eta adierazitako langileen prestasun-mailak Erakunde Kontratatzailearen beharrei erantzuteko gaitasun egokia erakusten dute. Hala, erantzun justu samarra bermatzen da.</w:t>
            </w:r>
          </w:p>
          <w:p w14:paraId="309C4EC7" w14:textId="34923E5C"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Oinarrizkoa: Proposatutako zerbitzu-antolaketak, eskainitako erantzun-denborek eta adierazitako langileen prestasun-mailak Erakunde Kontratatzailearen beharrei erantzuteko oinarrizko gaitasuna erakusten dute. Horrenbestez, ez da argi geratzen alderdi guztietan erantzun egokia emango denik.</w:t>
            </w:r>
          </w:p>
          <w:p w14:paraId="77870281" w14:textId="68AB7FB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Ez da aurkezten edo ez dagokio: Proposatutako zerbitzu-antolaketa, eskainitako erantzun-denborak eta adierazitako langileen prestasun-maila ez daude behar bezala jasota, edo ez dituzte oinarrizko betekizunak betetzen.</w:t>
            </w:r>
          </w:p>
          <w:p w14:paraId="11780361" w14:textId="77777777" w:rsidR="001E2F33" w:rsidRDefault="001E2F33" w:rsidP="001E2F33">
            <w:pPr>
              <w:spacing w:before="120" w:after="120"/>
              <w:ind w:hanging="1"/>
              <w:jc w:val="both"/>
              <w:rPr>
                <w:rFonts w:ascii="GalanoGrotesqueAlt-Light" w:hAnsi="GalanoGrotesqueAlt-Light"/>
                <w:sz w:val="16"/>
                <w:szCs w:val="16"/>
              </w:rPr>
            </w:pPr>
          </w:p>
          <w:p w14:paraId="2A6D4A9F" w14:textId="77777777" w:rsidR="00441FED" w:rsidRDefault="00441FED" w:rsidP="001E2F33">
            <w:pPr>
              <w:spacing w:before="120" w:after="120"/>
              <w:ind w:hanging="1"/>
              <w:jc w:val="both"/>
              <w:rPr>
                <w:rFonts w:ascii="GalanoGrotesqueAlt-Light" w:hAnsi="GalanoGrotesqueAlt-Light"/>
                <w:sz w:val="16"/>
                <w:szCs w:val="16"/>
              </w:rPr>
            </w:pPr>
          </w:p>
          <w:p w14:paraId="197FB334" w14:textId="77777777" w:rsidR="00441FED" w:rsidRDefault="00441FED" w:rsidP="001E2F33">
            <w:pPr>
              <w:spacing w:before="120" w:after="120"/>
              <w:ind w:hanging="1"/>
              <w:jc w:val="both"/>
              <w:rPr>
                <w:rFonts w:ascii="GalanoGrotesqueAlt-Light" w:hAnsi="GalanoGrotesqueAlt-Light"/>
                <w:sz w:val="16"/>
                <w:szCs w:val="16"/>
              </w:rPr>
            </w:pPr>
          </w:p>
          <w:p w14:paraId="59686DC1" w14:textId="77777777" w:rsidR="00441FED" w:rsidRPr="00285CD5" w:rsidRDefault="00441FED" w:rsidP="001E2F33">
            <w:pPr>
              <w:spacing w:before="120" w:after="120"/>
              <w:ind w:hanging="1"/>
              <w:jc w:val="both"/>
              <w:rPr>
                <w:rFonts w:ascii="GalanoGrotesqueAlt-Light" w:hAnsi="GalanoGrotesqueAlt-Light"/>
                <w:sz w:val="16"/>
                <w:szCs w:val="16"/>
              </w:rPr>
            </w:pPr>
          </w:p>
          <w:p w14:paraId="44266519" w14:textId="7BA42513"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lastRenderedPageBreak/>
              <w:t xml:space="preserve"> Lanaren plangintza eta esleitutako baliabideekiko koherentzia (gehienez 8 puntu):</w:t>
            </w:r>
          </w:p>
          <w:p w14:paraId="418AC8C9" w14:textId="77777777" w:rsidR="007A3904" w:rsidRPr="00285CD5" w:rsidRDefault="007A3904" w:rsidP="007A3904">
            <w:pPr>
              <w:pStyle w:val="Prrafodelista"/>
              <w:spacing w:before="120" w:after="120"/>
              <w:jc w:val="both"/>
              <w:rPr>
                <w:rFonts w:ascii="GalanoGrotesqueAlt-Light" w:hAnsi="GalanoGrotesqueAlt-Light"/>
                <w:sz w:val="16"/>
                <w:szCs w:val="16"/>
              </w:rPr>
            </w:pPr>
          </w:p>
          <w:p w14:paraId="10014727" w14:textId="377C95C7"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Bikaina: 8,00, ona: 6,00, ertaina: 4,00, oinarrizkoa: 2,00, ez da aurkezten edo ez dagokio: 0</w:t>
            </w:r>
          </w:p>
          <w:p w14:paraId="1C135932" w14:textId="269C7E44"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Bikaina: Memoria teknikoan proposatutako mugarriek eta faseek, bai eta horietako bakoitzari esleitutako langileek, gauzatzean bideragarritasun handia agertzen dute, eta balio handia ematen diote irtenbideari.</w:t>
            </w:r>
          </w:p>
          <w:p w14:paraId="2D518538" w14:textId="355ACA4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Ona: Memoria teknikoan proposatutako mugarriek eta faseek, bai eta horietako bakoitzari esleitutako langileek, gauzatzean bideragarritasun handia agertzen dute, eta kalitatea ematen diote irtenbideari.</w:t>
            </w:r>
          </w:p>
          <w:p w14:paraId="2B7075B5" w14:textId="1DC0A49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Ertaina: Memoria teknikoan proposatutako mugarriek eta faseek, bai eta horietako bakoitzari esleitutako langileek, gauzatzean bideragarritasun urria agertzen dute. Horrenbestez, ezin da bermatu beteko direnik.</w:t>
            </w:r>
          </w:p>
          <w:p w14:paraId="14607BB8" w14:textId="1BE72B8C"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Oinarrizkoa: Memoria teknikoan proposatutako mugarriek eta faseek, bai eta horietako bakoitzari esleitutako langileek, gauzatzean oinarrizko bideragarritasuna agertzen dute, baina zerbitzuaren alderdiren bat garatu gabe dago.</w:t>
            </w:r>
          </w:p>
          <w:p w14:paraId="59A7AEEE" w14:textId="4540C3EE" w:rsidR="00D52E5F"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Ez da aurkezten edo ez dagokio: Proposamenak ez du plangintzarik jasotzen.</w:t>
            </w:r>
          </w:p>
          <w:p w14:paraId="3D9C384E" w14:textId="77777777" w:rsidR="00DC41BF" w:rsidRDefault="00DC41BF" w:rsidP="007A3904">
            <w:pPr>
              <w:pStyle w:val="Prrafodelista"/>
              <w:spacing w:before="120" w:after="120"/>
              <w:jc w:val="both"/>
              <w:rPr>
                <w:rFonts w:ascii="GalanoGrotesqueAlt-Light" w:hAnsi="GalanoGrotesqueAlt-Light"/>
                <w:sz w:val="16"/>
                <w:szCs w:val="16"/>
              </w:rPr>
            </w:pPr>
          </w:p>
          <w:p w14:paraId="132C3906" w14:textId="08AA0EED" w:rsidR="00DC41BF" w:rsidRPr="00F61247" w:rsidRDefault="00F61247" w:rsidP="00F61247">
            <w:pPr>
              <w:pStyle w:val="Prrafodelista"/>
              <w:numPr>
                <w:ilvl w:val="0"/>
                <w:numId w:val="6"/>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Hobekuntza-proposamenak: Gehienez 2 puntu emango zaizkie, baldintza teknikoetan eskatutako gutxienekoen aldean, memoria teknikoaren garapena hobetzen duten proposamenak aurkezten dituztenei.</w:t>
            </w:r>
          </w:p>
          <w:p w14:paraId="5D6AFBC5" w14:textId="77777777" w:rsidR="007A3904" w:rsidRPr="00285CD5" w:rsidRDefault="007A3904" w:rsidP="00CC02CE">
            <w:pPr>
              <w:jc w:val="both"/>
              <w:rPr>
                <w:rFonts w:ascii="GalanoGrotesqueAlt-Light" w:hAnsi="GalanoGrotesqueAlt-Light"/>
                <w:sz w:val="16"/>
                <w:szCs w:val="16"/>
              </w:rPr>
            </w:pPr>
          </w:p>
          <w:p w14:paraId="30207C9C" w14:textId="4E454ED8" w:rsidR="00E21690" w:rsidRDefault="00285CD5" w:rsidP="00CC02CE">
            <w:pPr>
              <w:jc w:val="both"/>
              <w:rPr>
                <w:rFonts w:ascii="GalanoGrotesqueAlt-Light" w:hAnsi="GalanoGrotesqueAlt-Light"/>
                <w:sz w:val="16"/>
                <w:szCs w:val="16"/>
              </w:rPr>
            </w:pPr>
            <w:r>
              <w:rPr>
                <w:rFonts w:ascii="GalanoGrotesqueAlt-Light" w:hAnsi="GalanoGrotesqueAlt-Light"/>
                <w:sz w:val="16"/>
                <w:szCs w:val="16"/>
                <w:u w:val="single"/>
              </w:rPr>
              <w:t>*Azpikontratazioa</w:t>
            </w:r>
            <w:r w:rsidR="00E21690" w:rsidRPr="00285CD5">
              <w:rPr>
                <w:rFonts w:ascii="GalanoGrotesqueAlt-Light" w:hAnsi="GalanoGrotesqueAlt-Light"/>
                <w:sz w:val="16"/>
                <w:szCs w:val="16"/>
              </w:rPr>
              <w:t>: Lizitatzaileek eskaintzan adierazi beharko dute kontratuaren zer zati azpikontratatzeko asmoa duten, eta zati horren zenbatekoa eta hura gauzatzea aginduko zaien azpikontratisten izena edo enpresa-profila zehaztu beharko dituzte. Enpresa-profila kaudimen profesional edo teknikoko baldintzen arabera zehaztuko da.  Nolanahi ere, azpikontratatu nahi den kontratu-zatia ezin izango da % 50etik gorakoa izan.</w:t>
            </w:r>
          </w:p>
          <w:p w14:paraId="69594B27" w14:textId="77777777" w:rsidR="00E21690" w:rsidRPr="00285CD5" w:rsidRDefault="00E21690" w:rsidP="00CC02CE">
            <w:pPr>
              <w:jc w:val="both"/>
              <w:rPr>
                <w:rFonts w:ascii="GalanoGrotesqueAlt-Light" w:hAnsi="GalanoGrotesqueAlt-Light"/>
                <w:sz w:val="16"/>
                <w:szCs w:val="16"/>
                <w:highlight w:val="cyan"/>
              </w:rPr>
            </w:pPr>
          </w:p>
        </w:tc>
      </w:tr>
      <w:tr w:rsidR="00E21690" w:rsidRPr="00285CD5" w14:paraId="0269BD87" w14:textId="77777777" w:rsidTr="00987105">
        <w:tc>
          <w:tcPr>
            <w:tcW w:w="2457" w:type="dxa"/>
          </w:tcPr>
          <w:p w14:paraId="55C645F3" w14:textId="7350CCF3"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Formula bidez kuantifikatu daitezkeen irizpideei buruzko dokumentazioa (C gutun-azala), eta haztapen-faktoreak.</w:t>
            </w:r>
          </w:p>
        </w:tc>
        <w:tc>
          <w:tcPr>
            <w:tcW w:w="7116" w:type="dxa"/>
          </w:tcPr>
          <w:p w14:paraId="4082302C" w14:textId="3A9A8C4A" w:rsidR="00323CE0" w:rsidRPr="00285CD5" w:rsidRDefault="00323CE0" w:rsidP="00B94AE1">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Eskaintzen C gutun-azalak formula objektiboen bidez puntuak esleitzeko sistema konposatu bat jasoko du, eta gutun-azal horretan bi dokumentu sartu beharko dira: proposamen ekonomikoa eta, hala badagokio, erakunde esleipendunak kontratua gauzatzeko enplegatzeko konpromisoa hartzen duen emakumeen ehunekoa.</w:t>
            </w:r>
          </w:p>
          <w:p w14:paraId="52D92169" w14:textId="45953295" w:rsidR="00323CE0" w:rsidRPr="00285CD5" w:rsidRDefault="00323CE0" w:rsidP="00323CE0">
            <w:pPr>
              <w:pStyle w:val="Prrafodelista"/>
              <w:numPr>
                <w:ilvl w:val="0"/>
                <w:numId w:val="10"/>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PREZIOA (gehienez 48 puntu). </w:t>
            </w:r>
          </w:p>
          <w:p w14:paraId="6EE3AC88" w14:textId="44092F50" w:rsidR="00323CE0" w:rsidRPr="00285CD5" w:rsidRDefault="00323CE0" w:rsidP="00323CE0">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Lote bakoitzeko aholkularitza-prezioaren irizpidea honela haztatuko da:</w:t>
            </w:r>
          </w:p>
          <w:p w14:paraId="43D8E8DD" w14:textId="77777777" w:rsidR="00285CD5" w:rsidRDefault="00323CE0" w:rsidP="00D14CC3">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Guztira 48 puntu eslei daitezke. Hiru fasetako formula progresibo bat aplikatuko da, honako zehaztapen hauekin:  </w:t>
            </w:r>
          </w:p>
          <w:p w14:paraId="63D60D86" w14:textId="3E259BDB" w:rsidR="00323CE0" w:rsidRPr="00285CD5" w:rsidRDefault="00323CE0" w:rsidP="00285CD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25D1AF8A" w14:textId="3EF9FF5B"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Lizitazio-aurrekontuaren gainean % 10eko deskontua egiten duten proposamenei 37 puntu emango zaizkie.  </w:t>
            </w:r>
          </w:p>
          <w:p w14:paraId="7847FD26" w14:textId="77777777" w:rsidR="00323CE0" w:rsidRPr="00285CD5" w:rsidRDefault="00323CE0" w:rsidP="00323CE0">
            <w:pPr>
              <w:pStyle w:val="Prrafodelista"/>
              <w:spacing w:before="120" w:after="120"/>
              <w:jc w:val="both"/>
              <w:rPr>
                <w:rFonts w:ascii="GalanoGrotesqueAlt-Light" w:hAnsi="GalanoGrotesqueAlt-Light"/>
                <w:sz w:val="16"/>
                <w:szCs w:val="16"/>
              </w:rPr>
            </w:pPr>
          </w:p>
          <w:p w14:paraId="7CC78799" w14:textId="28FBB29F"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Lizitazio-aurrekontuaren gainean % 15eko deskontua egiten duten proposamenei 44 puntu emango zaizkie.</w:t>
            </w:r>
          </w:p>
          <w:p w14:paraId="0DA9EEE6" w14:textId="77777777" w:rsidR="00323CE0" w:rsidRPr="00285CD5" w:rsidRDefault="00323CE0" w:rsidP="00323CE0">
            <w:pPr>
              <w:pStyle w:val="Prrafodelista"/>
              <w:rPr>
                <w:rFonts w:ascii="GalanoGrotesqueAlt-Light" w:hAnsi="GalanoGrotesqueAlt-Light"/>
                <w:sz w:val="16"/>
                <w:szCs w:val="16"/>
              </w:rPr>
            </w:pPr>
          </w:p>
          <w:p w14:paraId="4B3E99D6" w14:textId="260571EA"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Aurreko deskontu-ehunekotik aurrera, puntu bat emango da % 1eko deskontu gehigarri bakoitzeko, gehienez 4 puntu eman arte.  </w:t>
            </w:r>
          </w:p>
          <w:p w14:paraId="068C840C" w14:textId="1BBB2AF2" w:rsidR="00323CE0" w:rsidRPr="00285CD5" w:rsidRDefault="00323CE0" w:rsidP="003A61C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Puntuak esleitzeko atalase bakoitzetik behera dauden proposamenei arau proportzional bat aplikatuta esleituko zaizkie puntuak. Eskaintza bat anormalki baxutzat joko da deskontua % 19tik gorakoa bada. </w:t>
            </w:r>
          </w:p>
          <w:p w14:paraId="7E30FC00" w14:textId="261F03CC" w:rsidR="00997232" w:rsidRPr="00285CD5" w:rsidRDefault="00997232" w:rsidP="003A61C4">
            <w:pPr>
              <w:spacing w:before="120" w:after="120"/>
              <w:jc w:val="both"/>
              <w:rPr>
                <w:rFonts w:ascii="GalanoGrotesqueAlt-Light" w:hAnsi="GalanoGrotesqueAlt-Light"/>
                <w:sz w:val="16"/>
                <w:szCs w:val="16"/>
              </w:rPr>
            </w:pPr>
          </w:p>
          <w:p w14:paraId="54787980" w14:textId="47053FE3" w:rsidR="003A61C4" w:rsidRPr="00285CD5" w:rsidRDefault="00B167A7" w:rsidP="003A61C4">
            <w:pPr>
              <w:pStyle w:val="Prrafodelista"/>
              <w:numPr>
                <w:ilvl w:val="0"/>
                <w:numId w:val="10"/>
              </w:numPr>
              <w:spacing w:before="120" w:after="120"/>
              <w:jc w:val="both"/>
              <w:rPr>
                <w:rFonts w:ascii="GalanoGrotesqueAlt-Light" w:hAnsi="GalanoGrotesqueAlt-Light"/>
                <w:b/>
                <w:bCs/>
                <w:sz w:val="16"/>
                <w:szCs w:val="16"/>
              </w:rPr>
            </w:pPr>
            <w:r w:rsidRPr="00B167A7">
              <w:rPr>
                <w:rFonts w:ascii="GalanoGrotesqueAlt-Light" w:hAnsi="GalanoGrotesqueAlt-Light"/>
                <w:b/>
                <w:bCs/>
                <w:sz w:val="16"/>
                <w:szCs w:val="16"/>
              </w:rPr>
              <w:t>KONTRATUA EGIKARITZEKO ERAKUNDE ESLEIPENDUNAK LANERATZEKO KONPROMISOA HARTZEN DUEN EMAKUMEEN EHUNEKOA (gehienez 2 puntu):</w:t>
            </w:r>
          </w:p>
          <w:p w14:paraId="5ED682EB" w14:textId="2B73E4B8" w:rsidR="003A61C4" w:rsidRPr="00285CD5" w:rsidRDefault="003A61C4" w:rsidP="003A61C4">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Erakunde esleipendunak kontratua egikaritzeko laneratzeko konpromisoa hartzen duen emakumeen ehunekoa formulak aplikatuta baloratuko da, honela:</w:t>
            </w:r>
          </w:p>
          <w:p w14:paraId="3D716E4B" w14:textId="7AB4527B" w:rsidR="00B167A7" w:rsidRPr="00B167A7" w:rsidRDefault="003A61C4"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Emakumeen ehunekoa % 40tik beherakoa bada, 0 puntu emango dira</w:t>
            </w:r>
          </w:p>
          <w:p w14:paraId="43A10837"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13C4FF13" w14:textId="15B447FE" w:rsidR="00B167A7" w:rsidRPr="00B94AE1" w:rsidRDefault="00B167A7"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Emakumeen ehunekoa % 41 eta % 50 artekoa bada, puntu 1 emango da</w:t>
            </w:r>
          </w:p>
          <w:p w14:paraId="077A2E42"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7C250563" w14:textId="20BFB638" w:rsidR="00B167A7" w:rsidRDefault="00B167A7"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Emakumeen ehunekoa % 51tik gorakoa bada, 2 puntu emango dira</w:t>
            </w:r>
          </w:p>
          <w:p w14:paraId="327660BB" w14:textId="6879B513" w:rsidR="00997232" w:rsidRPr="00B94AE1" w:rsidRDefault="00997232" w:rsidP="00B94AE1">
            <w:pPr>
              <w:spacing w:before="120" w:after="120"/>
              <w:jc w:val="both"/>
              <w:rPr>
                <w:rFonts w:ascii="GalanoGrotesqueAlt-Light" w:hAnsi="GalanoGrotesqueAlt-Light"/>
                <w:sz w:val="16"/>
                <w:szCs w:val="16"/>
              </w:rPr>
            </w:pPr>
          </w:p>
        </w:tc>
      </w:tr>
      <w:tr w:rsidR="00230912" w:rsidRPr="00285CD5" w14:paraId="0CAB22DD" w14:textId="77777777" w:rsidTr="00987105">
        <w:tc>
          <w:tcPr>
            <w:tcW w:w="2457" w:type="dxa"/>
          </w:tcPr>
          <w:p w14:paraId="1B2C689C" w14:textId="51378991" w:rsidR="00230912" w:rsidRPr="00285CD5" w:rsidRDefault="00230912"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Egikaritze-baldintza bereziak. </w:t>
            </w:r>
          </w:p>
        </w:tc>
        <w:tc>
          <w:tcPr>
            <w:tcW w:w="7116" w:type="dxa"/>
          </w:tcPr>
          <w:p w14:paraId="30B2D522" w14:textId="77777777"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Zerbitzuen esleipen honetan, loteei dagozkien kontratuak egikaritzeko baldintza berezitzat joko dira honako hauek:</w:t>
            </w:r>
          </w:p>
          <w:p w14:paraId="3305377F" w14:textId="152A1E29" w:rsidR="00227563" w:rsidRPr="00285CD5" w:rsidRDefault="00227563" w:rsidP="00227563">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Lan-arloko eta Gizarte Segurantzako araudia betetzea: </w:t>
            </w:r>
          </w:p>
          <w:p w14:paraId="4B4C4FE4" w14:textId="77777777" w:rsidR="00285CD5" w:rsidRDefault="00285CD5" w:rsidP="00227563">
            <w:pPr>
              <w:pStyle w:val="Prrafodelista"/>
              <w:spacing w:before="120" w:after="120"/>
              <w:jc w:val="both"/>
              <w:rPr>
                <w:rFonts w:ascii="GalanoGrotesqueAlt-Light" w:hAnsi="GalanoGrotesqueAlt-Light"/>
                <w:sz w:val="16"/>
                <w:szCs w:val="16"/>
              </w:rPr>
            </w:pPr>
          </w:p>
          <w:p w14:paraId="4A2FA1D2" w14:textId="49A1C707" w:rsidR="00227563" w:rsidRPr="00285CD5" w:rsidRDefault="00227563" w:rsidP="0022756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Kontratua egikaritzean, esleipendunak bete beharko ditu Europar Batasuneko zuzenbidean, Estatuko zuzenbidean, hitzarmen kolektiboetan edo Estatua lotzen duten nazioarteko zuzenbideko xedapenetan ezarritako gizarte- edo lan-arloko betebehar aplikagarriak.</w:t>
            </w:r>
          </w:p>
          <w:p w14:paraId="18DBBCAB" w14:textId="77777777" w:rsidR="00227563" w:rsidRDefault="00227563" w:rsidP="00227563">
            <w:pPr>
              <w:pStyle w:val="Prrafodelista"/>
              <w:spacing w:before="120" w:after="120"/>
              <w:jc w:val="both"/>
              <w:rPr>
                <w:rFonts w:ascii="GalanoGrotesqueAlt-Light" w:hAnsi="GalanoGrotesqueAlt-Light"/>
                <w:sz w:val="16"/>
                <w:szCs w:val="16"/>
              </w:rPr>
            </w:pPr>
          </w:p>
          <w:p w14:paraId="4C5199F5" w14:textId="77777777" w:rsidR="00441FED" w:rsidRPr="00285CD5" w:rsidRDefault="00441FED" w:rsidP="00227563">
            <w:pPr>
              <w:pStyle w:val="Prrafodelista"/>
              <w:spacing w:before="120" w:after="120"/>
              <w:jc w:val="both"/>
              <w:rPr>
                <w:rFonts w:ascii="GalanoGrotesqueAlt-Light" w:hAnsi="GalanoGrotesqueAlt-Light"/>
                <w:sz w:val="16"/>
                <w:szCs w:val="16"/>
              </w:rPr>
            </w:pPr>
          </w:p>
          <w:p w14:paraId="2D95EF70" w14:textId="77777777" w:rsidR="00291E69" w:rsidRPr="00285CD5" w:rsidRDefault="00227563" w:rsidP="00291E69">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lastRenderedPageBreak/>
              <w:t xml:space="preserve">Hizkuntza-baldintzak: </w:t>
            </w:r>
          </w:p>
          <w:p w14:paraId="27E0A382" w14:textId="77777777" w:rsidR="00285CD5" w:rsidRDefault="00285CD5" w:rsidP="00291E69">
            <w:pPr>
              <w:pStyle w:val="Prrafodelista"/>
              <w:spacing w:before="120" w:after="120"/>
              <w:jc w:val="both"/>
              <w:rPr>
                <w:rFonts w:ascii="GalanoGrotesqueAlt-Light" w:hAnsi="GalanoGrotesqueAlt-Light"/>
                <w:sz w:val="16"/>
                <w:szCs w:val="16"/>
              </w:rPr>
            </w:pPr>
          </w:p>
          <w:p w14:paraId="3BB21B57" w14:textId="385ECCB9" w:rsidR="00227563" w:rsidRPr="00285CD5" w:rsidRDefault="00227563" w:rsidP="00291E6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Esleipendunek euskarako C1 mailako hizkuntza-profila aurkeztu beharko dute lantaldearen barruan. Zehazki, eskakizun hori nahitaez egiaztatu beharko du zerbitzuaren hartzaileekin komunikatzen den pertsonak, baldin eta pertsona hori eta zerbitzuaren arduraduna pertsona bera ez badira. </w:t>
            </w:r>
          </w:p>
          <w:p w14:paraId="4A73EE50" w14:textId="77777777" w:rsidR="00227563" w:rsidRPr="00285CD5" w:rsidRDefault="00227563" w:rsidP="00227563">
            <w:pPr>
              <w:pStyle w:val="Prrafodelista"/>
              <w:spacing w:before="120" w:after="120"/>
              <w:jc w:val="both"/>
              <w:rPr>
                <w:rFonts w:ascii="GalanoGrotesqueAlt-Light" w:hAnsi="GalanoGrotesqueAlt-Light"/>
                <w:sz w:val="16"/>
                <w:szCs w:val="16"/>
              </w:rPr>
            </w:pPr>
          </w:p>
          <w:p w14:paraId="4979D67D" w14:textId="41460F37" w:rsidR="00227563" w:rsidRPr="00285CD5" w:rsidRDefault="00227563" w:rsidP="00291E6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BDCCren eta esleipendunen arteko harremanetan euskara erabiliko da normalean. Kontratua gauzatzearen ondorioetarako, “euskara normalean erabiltzea” honela ulertuko da:</w:t>
            </w:r>
          </w:p>
          <w:p w14:paraId="37C28640" w14:textId="77777777" w:rsidR="00291E69" w:rsidRPr="00285CD5" w:rsidRDefault="00291E69" w:rsidP="00291E69">
            <w:pPr>
              <w:pStyle w:val="Prrafodelista"/>
              <w:spacing w:before="120" w:after="120"/>
              <w:jc w:val="both"/>
              <w:rPr>
                <w:rFonts w:ascii="GalanoGrotesqueAlt-Light" w:hAnsi="GalanoGrotesqueAlt-Light"/>
                <w:sz w:val="16"/>
                <w:szCs w:val="16"/>
              </w:rPr>
            </w:pPr>
          </w:p>
          <w:p w14:paraId="622648C2" w14:textId="23FAA897" w:rsidR="00227563" w:rsidRPr="00285CD5"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Ahozko komunikazioetan, kontratua gauzatzeko eginkizunetan BDCCri zuzentzen zaizkion eta euskaraz dakiten langileek hasieran euskaraz egingo dute. Botere esleitzailea kontratua esleitzeari atxikitako langileei euskaraz zuzentzen bazaie, eta horiek euskara behar beste ez badakite, egikaritzeaz arduratzen den enpresak berehala beharrezko bitartekoak edo euskarazko hizkuntza-gaitasuna duten langileak jarri beharko ditu erabilgarri, kontratua egikaritzearen ondorioz BDCCrekin finkatutako harremana euskaraz bideratu ahal izan dadin.</w:t>
            </w:r>
          </w:p>
          <w:p w14:paraId="11B5F600" w14:textId="2CD427B7" w:rsidR="00230912" w:rsidRPr="00285CD5"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Idatzizko komunikazioak euskaraz eta gaztelaniaz idatziko dira, igorleak euskaraz soilik idaztea hautatzen duenean izan ezik.</w:t>
            </w:r>
          </w:p>
        </w:tc>
      </w:tr>
      <w:tr w:rsidR="00230912" w:rsidRPr="00285CD5" w14:paraId="18D7452D" w14:textId="77777777" w:rsidTr="00987105">
        <w:tc>
          <w:tcPr>
            <w:tcW w:w="2457" w:type="dxa"/>
          </w:tcPr>
          <w:p w14:paraId="1449F9C6" w14:textId="3578735E" w:rsidR="00230912" w:rsidRPr="00285CD5" w:rsidRDefault="00291E69"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Zehapenak</w:t>
            </w:r>
          </w:p>
        </w:tc>
        <w:tc>
          <w:tcPr>
            <w:tcW w:w="7116" w:type="dxa"/>
          </w:tcPr>
          <w:p w14:paraId="5C02788A" w14:textId="10F430BE" w:rsidR="00460B74" w:rsidRPr="00285CD5" w:rsidRDefault="00460B74" w:rsidP="00460B74">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17. klausulan </w:t>
            </w:r>
            <w:r w:rsidRPr="00285CD5">
              <w:rPr>
                <w:rFonts w:ascii="GalanoGrotesqueAlt-Light" w:hAnsi="GalanoGrotesqueAlt-Light"/>
                <w:b/>
                <w:bCs/>
                <w:color w:val="000000"/>
                <w:sz w:val="16"/>
                <w:szCs w:val="16"/>
              </w:rPr>
              <w:t>aurreikusitako kontratua egikaritzeko baldintza bereziak betetzen ez badira</w:t>
            </w:r>
            <w:r w:rsidRPr="00285CD5">
              <w:rPr>
                <w:rFonts w:ascii="GalanoGrotesqueAlt-Light" w:hAnsi="GalanoGrotesqueAlt-Light"/>
                <w:color w:val="000000"/>
                <w:sz w:val="16"/>
                <w:szCs w:val="16"/>
              </w:rPr>
              <w:t>, ez-betetzea funtsezkotzat joko da, eta kontratua suntsiaraztea ekarriko du.</w:t>
            </w:r>
          </w:p>
          <w:p w14:paraId="74FFEA95" w14:textId="5A8B5455" w:rsidR="00230912" w:rsidRPr="00285CD5" w:rsidRDefault="00460B74" w:rsidP="00460B74">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Baldintza teknikoen pleguan aurreikusitako zerbitzuak zati batean betetzen ez badira, % 5etik % 10era bitarteko zehapenak ezarriko dira, ez-betetze-mailaren arabera.</w:t>
            </w:r>
          </w:p>
        </w:tc>
      </w:tr>
      <w:tr w:rsidR="00E21690" w:rsidRPr="00285CD5" w14:paraId="6ED7053C" w14:textId="77777777" w:rsidTr="00987105">
        <w:tc>
          <w:tcPr>
            <w:tcW w:w="2457" w:type="dxa"/>
          </w:tcPr>
          <w:p w14:paraId="23210C8D" w14:textId="7361A8F0"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 eta B GUTUN-AZALETAN sartutako dokumentazioa irekitzeko lekua, eguna eta ordua. </w:t>
            </w:r>
          </w:p>
        </w:tc>
        <w:tc>
          <w:tcPr>
            <w:tcW w:w="7116" w:type="dxa"/>
          </w:tcPr>
          <w:p w14:paraId="5E2D9059" w14:textId="21526D14"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2026ko urriaren 20an, 12:00etan.</w:t>
            </w:r>
          </w:p>
          <w:p w14:paraId="7CD361CC" w14:textId="15079AEC" w:rsidR="00230912" w:rsidRPr="00285CD5" w:rsidRDefault="00230912" w:rsidP="00230912">
            <w:pPr>
              <w:spacing w:before="120" w:after="120"/>
              <w:jc w:val="both"/>
              <w:rPr>
                <w:rFonts w:ascii="GalanoGrotesqueAlt-Light" w:hAnsi="GalanoGrotesqueAlt-Light"/>
                <w:sz w:val="16"/>
                <w:szCs w:val="16"/>
              </w:rPr>
            </w:pPr>
          </w:p>
          <w:p w14:paraId="45EB4C32" w14:textId="34C82229" w:rsidR="00230912" w:rsidRPr="00285CD5" w:rsidRDefault="00230912" w:rsidP="00CC02CE">
            <w:pPr>
              <w:spacing w:before="120" w:after="120"/>
              <w:jc w:val="both"/>
              <w:rPr>
                <w:rFonts w:ascii="GalanoGrotesqueAlt-Light" w:hAnsi="GalanoGrotesqueAlt-Light"/>
                <w:bCs/>
                <w:sz w:val="16"/>
                <w:szCs w:val="16"/>
              </w:rPr>
            </w:pPr>
          </w:p>
        </w:tc>
      </w:tr>
      <w:tr w:rsidR="00E21690" w:rsidRPr="00285CD5" w14:paraId="0E63D642" w14:textId="77777777" w:rsidTr="00987105">
        <w:tc>
          <w:tcPr>
            <w:tcW w:w="2457" w:type="dxa"/>
          </w:tcPr>
          <w:p w14:paraId="49F0BE4A" w14:textId="7CD60101"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Formula bidez kuantifikatu daitezkeen irizpideei buruzko dokumentazioa (C gutun-azala) irekitzeko lekua, eguna eta ordua.</w:t>
            </w:r>
          </w:p>
        </w:tc>
        <w:tc>
          <w:tcPr>
            <w:tcW w:w="7116" w:type="dxa"/>
          </w:tcPr>
          <w:p w14:paraId="541BC013" w14:textId="4D7BFA73"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2026ko azaroaren 3an, 12:00etan.</w:t>
            </w:r>
          </w:p>
          <w:p w14:paraId="33C10183" w14:textId="574A2FE1" w:rsidR="00E21690" w:rsidRPr="00285CD5" w:rsidRDefault="00E21690" w:rsidP="00230912">
            <w:pPr>
              <w:spacing w:before="120" w:after="120"/>
              <w:jc w:val="both"/>
              <w:rPr>
                <w:rFonts w:ascii="GalanoGrotesqueAlt-Light" w:hAnsi="GalanoGrotesqueAlt-Light"/>
                <w:sz w:val="16"/>
                <w:szCs w:val="16"/>
              </w:rPr>
            </w:pPr>
          </w:p>
        </w:tc>
      </w:tr>
      <w:tr w:rsidR="00E21690" w:rsidRPr="00285CD5" w14:paraId="4A3B4FDE" w14:textId="77777777" w:rsidTr="00987105">
        <w:tc>
          <w:tcPr>
            <w:tcW w:w="2457" w:type="dxa"/>
          </w:tcPr>
          <w:p w14:paraId="271F696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Kontratua ez esleitzeko edo ez egiteko erabakiaren nahiz prozeduran atzera egitearen ondoriozko konpentsazioa</w:t>
            </w:r>
          </w:p>
        </w:tc>
        <w:tc>
          <w:tcPr>
            <w:tcW w:w="7116" w:type="dxa"/>
          </w:tcPr>
          <w:p w14:paraId="7B1AB269" w14:textId="6673EC9F"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Ez.</w:t>
            </w:r>
          </w:p>
        </w:tc>
      </w:tr>
      <w:tr w:rsidR="00E21690" w:rsidRPr="00285CD5" w14:paraId="531A6B81" w14:textId="77777777" w:rsidTr="00987105">
        <w:trPr>
          <w:trHeight w:val="254"/>
        </w:trPr>
        <w:tc>
          <w:tcPr>
            <w:tcW w:w="2457" w:type="dxa"/>
          </w:tcPr>
          <w:p w14:paraId="6073DCE0"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Prezioen berrikuspena</w:t>
            </w:r>
          </w:p>
        </w:tc>
        <w:tc>
          <w:tcPr>
            <w:tcW w:w="7116" w:type="dxa"/>
          </w:tcPr>
          <w:p w14:paraId="57ED666C" w14:textId="0849754B"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Ez.</w:t>
            </w:r>
          </w:p>
          <w:p w14:paraId="0DCB80D7" w14:textId="05257672"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48AE3EF9" w14:textId="77777777" w:rsidTr="00987105">
        <w:tc>
          <w:tcPr>
            <w:tcW w:w="2457" w:type="dxa"/>
          </w:tcPr>
          <w:p w14:paraId="379B24EE"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Aldaerak onartzea</w:t>
            </w:r>
          </w:p>
        </w:tc>
        <w:tc>
          <w:tcPr>
            <w:tcW w:w="7116" w:type="dxa"/>
          </w:tcPr>
          <w:p w14:paraId="55E49BF8" w14:textId="093DAFBC"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Ez.</w:t>
            </w:r>
          </w:p>
          <w:p w14:paraId="3E406D4F" w14:textId="1E8B7B3E"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55DE3F55" w14:textId="77777777" w:rsidTr="00987105">
        <w:tc>
          <w:tcPr>
            <w:tcW w:w="2457" w:type="dxa"/>
          </w:tcPr>
          <w:p w14:paraId="5FB2B70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Publizitate-gastuak eta zenbatekoa</w:t>
            </w:r>
          </w:p>
        </w:tc>
        <w:tc>
          <w:tcPr>
            <w:tcW w:w="7116" w:type="dxa"/>
          </w:tcPr>
          <w:p w14:paraId="6624D9A4" w14:textId="7FE18CE8" w:rsidR="00230912" w:rsidRPr="00285CD5" w:rsidRDefault="00E21690"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Ez.</w:t>
            </w:r>
          </w:p>
          <w:p w14:paraId="2EBE4EB5" w14:textId="6803B8FC"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71408E06" w14:textId="77777777" w:rsidTr="00987105">
        <w:tc>
          <w:tcPr>
            <w:tcW w:w="2457" w:type="dxa"/>
          </w:tcPr>
          <w:p w14:paraId="4A3087F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Iragarkia EBAOra bidaltzeko data</w:t>
            </w:r>
          </w:p>
        </w:tc>
        <w:tc>
          <w:tcPr>
            <w:tcW w:w="7116" w:type="dxa"/>
          </w:tcPr>
          <w:p w14:paraId="0D82E2B9" w14:textId="0CDB29A3" w:rsidR="00E21690" w:rsidRPr="00285CD5" w:rsidRDefault="00E21690" w:rsidP="00230912">
            <w:pPr>
              <w:rPr>
                <w:rFonts w:ascii="GalanoGrotesqueAlt-Light" w:hAnsi="GalanoGrotesqueAlt-Light"/>
                <w:sz w:val="16"/>
                <w:szCs w:val="16"/>
              </w:rPr>
            </w:pPr>
            <w:r w:rsidRPr="00285CD5">
              <w:rPr>
                <w:rFonts w:ascii="GalanoGrotesqueAlt-Light" w:hAnsi="GalanoGrotesqueAlt-Light"/>
                <w:sz w:val="16"/>
                <w:szCs w:val="16"/>
              </w:rPr>
              <w:t xml:space="preserve">Ez. </w:t>
            </w:r>
          </w:p>
        </w:tc>
      </w:tr>
      <w:tr w:rsidR="00E21690" w:rsidRPr="00285CD5" w14:paraId="1691D71E" w14:textId="77777777" w:rsidTr="00460B74">
        <w:trPr>
          <w:trHeight w:val="896"/>
        </w:trPr>
        <w:tc>
          <w:tcPr>
            <w:tcW w:w="2457" w:type="dxa"/>
          </w:tcPr>
          <w:p w14:paraId="54956C92"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Lan-kontratuetan subrogatzea</w:t>
            </w:r>
          </w:p>
        </w:tc>
        <w:tc>
          <w:tcPr>
            <w:tcW w:w="7116" w:type="dxa"/>
          </w:tcPr>
          <w:p w14:paraId="336DCE58" w14:textId="05F657B9"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Ez.</w:t>
            </w:r>
          </w:p>
        </w:tc>
      </w:tr>
      <w:tr w:rsidR="00E21690" w:rsidRPr="00285CD5" w14:paraId="49FEE6AD" w14:textId="77777777" w:rsidTr="00460B74">
        <w:trPr>
          <w:trHeight w:val="1591"/>
        </w:trPr>
        <w:tc>
          <w:tcPr>
            <w:tcW w:w="2457" w:type="dxa"/>
          </w:tcPr>
          <w:p w14:paraId="73F668D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Bestelako informazioa</w:t>
            </w:r>
          </w:p>
        </w:tc>
        <w:tc>
          <w:tcPr>
            <w:tcW w:w="7116" w:type="dxa"/>
          </w:tcPr>
          <w:p w14:paraId="5BB90B26" w14:textId="7A172062" w:rsidR="00E21690" w:rsidRDefault="00E21690" w:rsidP="00460B7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Lizitatzaileek lizitazio honetan aurreikusitako zerbitzuak ematearen ondoriozko faktura guztiak 2027ko abenduaren 31 baino lehen jaulki behar dituzte.</w:t>
            </w:r>
          </w:p>
          <w:p w14:paraId="0704AEE1" w14:textId="77777777" w:rsidR="00214841" w:rsidRDefault="00214841" w:rsidP="00460B74">
            <w:pPr>
              <w:spacing w:before="120" w:after="120"/>
              <w:jc w:val="both"/>
              <w:rPr>
                <w:rFonts w:ascii="GalanoGrotesqueAlt-Light" w:hAnsi="GalanoGrotesqueAlt-Light"/>
                <w:sz w:val="16"/>
                <w:szCs w:val="16"/>
              </w:rPr>
            </w:pPr>
            <w:r>
              <w:rPr>
                <w:rFonts w:ascii="GalanoGrotesqueAlt-Light" w:hAnsi="GalanoGrotesqueAlt-Light"/>
                <w:sz w:val="16"/>
                <w:szCs w:val="16"/>
              </w:rPr>
              <w:t>Ordainketak bi ordainketatan egingo dira, bakoitza eskainitako aurrekontuaren % 50ekoa: % 50 zerbitzuaren hasieran eta % 50 kontratua gauzatzeko gehieneko epea amaitzean.</w:t>
            </w:r>
          </w:p>
          <w:p w14:paraId="5E5A51BF" w14:textId="45C44D6F" w:rsidR="00293D50" w:rsidRPr="00BB6D5C" w:rsidRDefault="00293D50" w:rsidP="00460B74">
            <w:pPr>
              <w:spacing w:before="120" w:after="120"/>
              <w:jc w:val="both"/>
              <w:rPr>
                <w:rFonts w:ascii="GalanoGrotesqueAlt-Light" w:hAnsi="GalanoGrotesqueAlt-Light"/>
                <w:b/>
                <w:bCs/>
                <w:sz w:val="16"/>
                <w:szCs w:val="16"/>
                <w:u w:val="single"/>
              </w:rPr>
            </w:pPr>
            <w:r w:rsidRPr="00BB6D5C">
              <w:rPr>
                <w:rFonts w:ascii="GalanoGrotesqueAlt-Light" w:hAnsi="GalanoGrotesqueAlt-Light"/>
                <w:b/>
                <w:bCs/>
                <w:sz w:val="16"/>
                <w:szCs w:val="16"/>
                <w:u w:val="single"/>
              </w:rPr>
              <w:t>Eskainitako aurrekontua ordaintzeko, ordainsari finkoa eta aldakorra uztartzea aurreikusten da. Aurrekontuaren % 80 finkoa izango da, eta gainerako % 20a zerbitzuaren egikaritze-mailaren araberakoa izango da; hau da, aholkularitzen % 80 baino gehiago egitearen araberakoa.</w:t>
            </w:r>
          </w:p>
        </w:tc>
      </w:tr>
    </w:tbl>
    <w:p w14:paraId="52E44FF7" w14:textId="77777777" w:rsidR="00E21690" w:rsidRPr="00285CD5" w:rsidRDefault="00E21690" w:rsidP="00E21690">
      <w:pPr>
        <w:rPr>
          <w:rFonts w:ascii="GalanoGrotesqueAlt-Light" w:hAnsi="GalanoGrotesqueAlt-Light"/>
          <w:sz w:val="16"/>
          <w:szCs w:val="16"/>
        </w:rPr>
      </w:pPr>
    </w:p>
    <w:p w14:paraId="3CC0094E" w14:textId="77777777" w:rsidR="008C6EC3" w:rsidRPr="00285CD5" w:rsidRDefault="008C6EC3">
      <w:pPr>
        <w:rPr>
          <w:rFonts w:ascii="GalanoGrotesqueAlt-Light" w:hAnsi="GalanoGrotesqueAlt-Light"/>
          <w:sz w:val="16"/>
          <w:szCs w:val="16"/>
        </w:rPr>
      </w:pPr>
    </w:p>
    <w:sectPr w:rsidR="008C6EC3" w:rsidRPr="00285CD5" w:rsidSect="00DD5EF4">
      <w:headerReference w:type="default" r:id="rId9"/>
      <w:footerReference w:type="even" r:id="rId10"/>
      <w:footerReference w:type="default" r:id="rId11"/>
      <w:headerReference w:type="first" r:id="rId12"/>
      <w:footerReference w:type="first" r:id="rId13"/>
      <w:pgSz w:w="11906" w:h="16838" w:code="9"/>
      <w:pgMar w:top="1701" w:right="170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96251" w14:textId="77777777" w:rsidR="00DC7AB3" w:rsidRDefault="00DC7AB3" w:rsidP="00E21690">
      <w:r>
        <w:separator/>
      </w:r>
    </w:p>
  </w:endnote>
  <w:endnote w:type="continuationSeparator" w:id="0">
    <w:p w14:paraId="1181BF6E" w14:textId="77777777" w:rsidR="00DC7AB3" w:rsidRDefault="00DC7AB3" w:rsidP="00E2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alanoGrotesqueAlt-Light">
    <w:altName w:val="Times New Roman"/>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6D98" w14:textId="77777777" w:rsidR="00F80B3F" w:rsidRDefault="00530ED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2F3E31E4" w14:textId="77777777" w:rsidR="00F80B3F" w:rsidRDefault="00F80B3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31F93" w14:textId="77777777" w:rsidR="00F80B3F" w:rsidRDefault="00530EDF">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6D50E3">
      <w:rPr>
        <w:rStyle w:val="Nmerodepgina"/>
        <w:noProof/>
      </w:rPr>
      <w:t>1</w:t>
    </w:r>
    <w:r>
      <w:rPr>
        <w:rStyle w:val="Nmerodepgina"/>
      </w:rPr>
      <w:fldChar w:fldCharType="end"/>
    </w:r>
    <w:r>
      <w:rPr>
        <w:rStyle w:val="Nmerodepgina"/>
      </w:rPr>
      <w:t xml:space="preserve"> -</w:t>
    </w:r>
  </w:p>
  <w:p w14:paraId="069EEFCC" w14:textId="77777777" w:rsidR="00F80B3F" w:rsidRDefault="00F80B3F">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09F4" w14:textId="77777777" w:rsidR="00F80B3F" w:rsidRDefault="00530EDF"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3DD3B2ED" w14:textId="77777777" w:rsidR="00F80B3F" w:rsidRDefault="00F80B3F"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1D9D5" w14:textId="77777777" w:rsidR="00DC7AB3" w:rsidRDefault="00DC7AB3" w:rsidP="00E21690">
      <w:bookmarkStart w:id="0" w:name="_Hlk99554160"/>
      <w:bookmarkEnd w:id="0"/>
      <w:r>
        <w:separator/>
      </w:r>
    </w:p>
  </w:footnote>
  <w:footnote w:type="continuationSeparator" w:id="0">
    <w:p w14:paraId="6E1F835C" w14:textId="77777777" w:rsidR="00DC7AB3" w:rsidRDefault="00DC7AB3" w:rsidP="00E2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B4236" w14:textId="6C663C32" w:rsidR="00F80B3F" w:rsidRPr="00997232" w:rsidRDefault="00997232" w:rsidP="00997232">
    <w:pPr>
      <w:pStyle w:val="Encabezado"/>
      <w:ind w:firstLine="708"/>
      <w:jc w:val="center"/>
      <w:rPr>
        <w:noProof/>
      </w:rPr>
    </w:pPr>
    <w:r w:rsidRPr="00997232">
      <w:rPr>
        <w:b/>
        <w:bCs/>
        <w:noProof/>
        <w:lang w:eastAsia="es-ES_tradnl"/>
      </w:rPr>
      <w:drawing>
        <wp:anchor distT="0" distB="0" distL="114300" distR="114300" simplePos="0" relativeHeight="251658240" behindDoc="1" locked="0" layoutInCell="1" allowOverlap="1" wp14:anchorId="73BE806B" wp14:editId="0F01DDC1">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sidR="006F0A8E">
      <w:rPr>
        <w:noProof/>
        <w:lang w:eastAsia="es-ES_tradnl"/>
      </w:rPr>
      <w:drawing>
        <wp:inline distT="0" distB="0" distL="0" distR="0" wp14:anchorId="292049D8" wp14:editId="56BDAAB9">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1C85" w14:textId="77777777" w:rsidR="00F80B3F" w:rsidRDefault="00530EDF">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1E526C0"/>
    <w:multiLevelType w:val="hybridMultilevel"/>
    <w:tmpl w:val="80EAF358"/>
    <w:lvl w:ilvl="0" w:tplc="F9500CD4">
      <w:start w:val="1"/>
      <w:numFmt w:val="lowerLetter"/>
      <w:lvlText w:val="%1)"/>
      <w:lvlJc w:val="left"/>
      <w:pPr>
        <w:ind w:left="866" w:hanging="360"/>
      </w:pPr>
      <w:rPr>
        <w:b w:val="0"/>
      </w:rPr>
    </w:lvl>
    <w:lvl w:ilvl="1" w:tplc="0C0A0019">
      <w:start w:val="1"/>
      <w:numFmt w:val="lowerLetter"/>
      <w:lvlText w:val="%2."/>
      <w:lvlJc w:val="left"/>
      <w:pPr>
        <w:ind w:left="1586" w:hanging="360"/>
      </w:pPr>
    </w:lvl>
    <w:lvl w:ilvl="2" w:tplc="0C0A001B">
      <w:start w:val="1"/>
      <w:numFmt w:val="lowerRoman"/>
      <w:lvlText w:val="%3."/>
      <w:lvlJc w:val="right"/>
      <w:pPr>
        <w:ind w:left="2306" w:hanging="180"/>
      </w:pPr>
    </w:lvl>
    <w:lvl w:ilvl="3" w:tplc="0C0A000F">
      <w:start w:val="1"/>
      <w:numFmt w:val="decimal"/>
      <w:lvlText w:val="%4."/>
      <w:lvlJc w:val="left"/>
      <w:pPr>
        <w:ind w:left="3026" w:hanging="360"/>
      </w:pPr>
    </w:lvl>
    <w:lvl w:ilvl="4" w:tplc="0C0A0019">
      <w:start w:val="1"/>
      <w:numFmt w:val="lowerLetter"/>
      <w:lvlText w:val="%5."/>
      <w:lvlJc w:val="left"/>
      <w:pPr>
        <w:ind w:left="3746" w:hanging="360"/>
      </w:pPr>
    </w:lvl>
    <w:lvl w:ilvl="5" w:tplc="0C0A001B">
      <w:start w:val="1"/>
      <w:numFmt w:val="lowerRoman"/>
      <w:lvlText w:val="%6."/>
      <w:lvlJc w:val="right"/>
      <w:pPr>
        <w:ind w:left="4466" w:hanging="180"/>
      </w:pPr>
    </w:lvl>
    <w:lvl w:ilvl="6" w:tplc="0C0A000F">
      <w:start w:val="1"/>
      <w:numFmt w:val="decimal"/>
      <w:lvlText w:val="%7."/>
      <w:lvlJc w:val="left"/>
      <w:pPr>
        <w:ind w:left="5186" w:hanging="360"/>
      </w:pPr>
    </w:lvl>
    <w:lvl w:ilvl="7" w:tplc="0C0A0019">
      <w:start w:val="1"/>
      <w:numFmt w:val="lowerLetter"/>
      <w:lvlText w:val="%8."/>
      <w:lvlJc w:val="left"/>
      <w:pPr>
        <w:ind w:left="5906" w:hanging="360"/>
      </w:pPr>
    </w:lvl>
    <w:lvl w:ilvl="8" w:tplc="0C0A001B">
      <w:start w:val="1"/>
      <w:numFmt w:val="lowerRoman"/>
      <w:lvlText w:val="%9."/>
      <w:lvlJc w:val="right"/>
      <w:pPr>
        <w:ind w:left="6626" w:hanging="180"/>
      </w:pPr>
    </w:lvl>
  </w:abstractNum>
  <w:abstractNum w:abstractNumId="2"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C0330B"/>
    <w:multiLevelType w:val="hybridMultilevel"/>
    <w:tmpl w:val="6B8A1F82"/>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338170D"/>
    <w:multiLevelType w:val="hybridMultilevel"/>
    <w:tmpl w:val="B9F443D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3B1AE3"/>
    <w:multiLevelType w:val="hybridMultilevel"/>
    <w:tmpl w:val="4C46813A"/>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2220D77"/>
    <w:multiLevelType w:val="hybridMultilevel"/>
    <w:tmpl w:val="6E3435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AEE0C6C"/>
    <w:multiLevelType w:val="hybridMultilevel"/>
    <w:tmpl w:val="21D69504"/>
    <w:lvl w:ilvl="0" w:tplc="D6C27F9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746B7934"/>
    <w:multiLevelType w:val="hybridMultilevel"/>
    <w:tmpl w:val="896A0A56"/>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9560863">
    <w:abstractNumId w:val="5"/>
  </w:num>
  <w:num w:numId="2" w16cid:durableId="1407410195">
    <w:abstractNumId w:val="3"/>
  </w:num>
  <w:num w:numId="3" w16cid:durableId="1668435843">
    <w:abstractNumId w:val="12"/>
  </w:num>
  <w:num w:numId="4" w16cid:durableId="1796217969">
    <w:abstractNumId w:val="8"/>
  </w:num>
  <w:num w:numId="5" w16cid:durableId="1999267225">
    <w:abstractNumId w:val="9"/>
  </w:num>
  <w:num w:numId="6" w16cid:durableId="1025910674">
    <w:abstractNumId w:val="4"/>
  </w:num>
  <w:num w:numId="7" w16cid:durableId="2064938780">
    <w:abstractNumId w:val="7"/>
  </w:num>
  <w:num w:numId="8" w16cid:durableId="1863594080">
    <w:abstractNumId w:val="14"/>
  </w:num>
  <w:num w:numId="9" w16cid:durableId="308706222">
    <w:abstractNumId w:val="13"/>
  </w:num>
  <w:num w:numId="10" w16cid:durableId="1627812527">
    <w:abstractNumId w:val="6"/>
  </w:num>
  <w:num w:numId="11" w16cid:durableId="117837709">
    <w:abstractNumId w:val="2"/>
  </w:num>
  <w:num w:numId="12" w16cid:durableId="1701854574">
    <w:abstractNumId w:val="11"/>
  </w:num>
  <w:num w:numId="13" w16cid:durableId="429551679">
    <w:abstractNumId w:val="0"/>
  </w:num>
  <w:num w:numId="14" w16cid:durableId="14549768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260530">
    <w:abstractNumId w:val="10"/>
  </w:num>
  <w:num w:numId="16" w16cid:durableId="2497812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690"/>
    <w:rsid w:val="0006592D"/>
    <w:rsid w:val="0007234D"/>
    <w:rsid w:val="00077F07"/>
    <w:rsid w:val="0009634C"/>
    <w:rsid w:val="000A4BC4"/>
    <w:rsid w:val="00124296"/>
    <w:rsid w:val="0014322A"/>
    <w:rsid w:val="0014427A"/>
    <w:rsid w:val="00146103"/>
    <w:rsid w:val="001E2F33"/>
    <w:rsid w:val="001E5007"/>
    <w:rsid w:val="002129B8"/>
    <w:rsid w:val="00214841"/>
    <w:rsid w:val="00227563"/>
    <w:rsid w:val="00230912"/>
    <w:rsid w:val="00285CD5"/>
    <w:rsid w:val="00291E69"/>
    <w:rsid w:val="00293D50"/>
    <w:rsid w:val="002B19D7"/>
    <w:rsid w:val="002B33EF"/>
    <w:rsid w:val="002C7076"/>
    <w:rsid w:val="002C7079"/>
    <w:rsid w:val="003140A4"/>
    <w:rsid w:val="00323CE0"/>
    <w:rsid w:val="003430B6"/>
    <w:rsid w:val="00345C0D"/>
    <w:rsid w:val="003A61C4"/>
    <w:rsid w:val="003F70D5"/>
    <w:rsid w:val="004154E0"/>
    <w:rsid w:val="00426E50"/>
    <w:rsid w:val="00441FED"/>
    <w:rsid w:val="00460B74"/>
    <w:rsid w:val="00483202"/>
    <w:rsid w:val="004F077F"/>
    <w:rsid w:val="00500EDD"/>
    <w:rsid w:val="00530EDF"/>
    <w:rsid w:val="00533665"/>
    <w:rsid w:val="00570C40"/>
    <w:rsid w:val="005811CF"/>
    <w:rsid w:val="0059615A"/>
    <w:rsid w:val="005A0998"/>
    <w:rsid w:val="005A5E7C"/>
    <w:rsid w:val="005C4AFA"/>
    <w:rsid w:val="005D11C1"/>
    <w:rsid w:val="005E7506"/>
    <w:rsid w:val="00641D61"/>
    <w:rsid w:val="006960D7"/>
    <w:rsid w:val="00696FAC"/>
    <w:rsid w:val="006B4869"/>
    <w:rsid w:val="006B70DF"/>
    <w:rsid w:val="006C48D9"/>
    <w:rsid w:val="006D50E3"/>
    <w:rsid w:val="006F0A8E"/>
    <w:rsid w:val="0071672C"/>
    <w:rsid w:val="00721482"/>
    <w:rsid w:val="00776A8D"/>
    <w:rsid w:val="007846E9"/>
    <w:rsid w:val="007A3904"/>
    <w:rsid w:val="007D6722"/>
    <w:rsid w:val="007E0310"/>
    <w:rsid w:val="007E4CA1"/>
    <w:rsid w:val="0085590E"/>
    <w:rsid w:val="008C6EC3"/>
    <w:rsid w:val="008F1E77"/>
    <w:rsid w:val="00902D95"/>
    <w:rsid w:val="00917F66"/>
    <w:rsid w:val="00920110"/>
    <w:rsid w:val="00987105"/>
    <w:rsid w:val="00997232"/>
    <w:rsid w:val="009B372B"/>
    <w:rsid w:val="009C7111"/>
    <w:rsid w:val="00A02410"/>
    <w:rsid w:val="00A13E86"/>
    <w:rsid w:val="00A47038"/>
    <w:rsid w:val="00AA46FF"/>
    <w:rsid w:val="00AF044D"/>
    <w:rsid w:val="00B039AB"/>
    <w:rsid w:val="00B167A7"/>
    <w:rsid w:val="00B40202"/>
    <w:rsid w:val="00B5734E"/>
    <w:rsid w:val="00B73DAD"/>
    <w:rsid w:val="00B94AE1"/>
    <w:rsid w:val="00BB6D5C"/>
    <w:rsid w:val="00BC30F2"/>
    <w:rsid w:val="00C013E3"/>
    <w:rsid w:val="00C8661F"/>
    <w:rsid w:val="00CC04FF"/>
    <w:rsid w:val="00CC11CD"/>
    <w:rsid w:val="00CD4E17"/>
    <w:rsid w:val="00CE0D49"/>
    <w:rsid w:val="00D02411"/>
    <w:rsid w:val="00D12EC2"/>
    <w:rsid w:val="00D30A69"/>
    <w:rsid w:val="00D52E5F"/>
    <w:rsid w:val="00D6335F"/>
    <w:rsid w:val="00DC41BF"/>
    <w:rsid w:val="00DC7AB3"/>
    <w:rsid w:val="00DE4CF6"/>
    <w:rsid w:val="00E07415"/>
    <w:rsid w:val="00E12F95"/>
    <w:rsid w:val="00E1302B"/>
    <w:rsid w:val="00E21690"/>
    <w:rsid w:val="00E27BD8"/>
    <w:rsid w:val="00E76411"/>
    <w:rsid w:val="00E81D7E"/>
    <w:rsid w:val="00E96481"/>
    <w:rsid w:val="00F358B4"/>
    <w:rsid w:val="00F55BD7"/>
    <w:rsid w:val="00F61247"/>
    <w:rsid w:val="00F80B3F"/>
    <w:rsid w:val="00F84FC8"/>
    <w:rsid w:val="00FC4E49"/>
    <w:rsid w:val="00FD4716"/>
    <w:rsid w:val="00FD4EF9"/>
    <w:rsid w:val="00FF277E"/>
    <w:rsid w:val="00FF50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831FA"/>
  <w15:chartTrackingRefBased/>
  <w15:docId w15:val="{A5D5B981-1F60-451D-A912-1F1B7094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1690"/>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E21690"/>
    <w:pPr>
      <w:tabs>
        <w:tab w:val="center" w:pos="4252"/>
        <w:tab w:val="right" w:pos="8504"/>
      </w:tabs>
    </w:pPr>
  </w:style>
  <w:style w:type="character" w:customStyle="1" w:styleId="PiedepginaCar">
    <w:name w:val="Pie de página Car"/>
    <w:basedOn w:val="Fuentedeprrafopredeter"/>
    <w:link w:val="Piedepgina"/>
    <w:rsid w:val="00E21690"/>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E21690"/>
  </w:style>
  <w:style w:type="paragraph" w:styleId="Encabezado">
    <w:name w:val="header"/>
    <w:aliases w:val="Encabezado1,anexo"/>
    <w:basedOn w:val="Normal"/>
    <w:link w:val="EncabezadoCar"/>
    <w:rsid w:val="00E21690"/>
    <w:pPr>
      <w:tabs>
        <w:tab w:val="center" w:pos="4252"/>
        <w:tab w:val="right" w:pos="8504"/>
      </w:tabs>
    </w:pPr>
  </w:style>
  <w:style w:type="character" w:customStyle="1" w:styleId="EncabezadoCar">
    <w:name w:val="Encabezado Car"/>
    <w:aliases w:val="Encabezado1 Car,anexo Car"/>
    <w:basedOn w:val="Fuentedeprrafopredeter"/>
    <w:link w:val="Encabezado"/>
    <w:rsid w:val="00E21690"/>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semiHidden/>
    <w:rsid w:val="00E21690"/>
  </w:style>
  <w:style w:type="character" w:customStyle="1" w:styleId="TextonotapieCar">
    <w:name w:val="Texto nota pie Car"/>
    <w:basedOn w:val="Fuentedeprrafopredeter"/>
    <w:link w:val="Textonotapie"/>
    <w:semiHidden/>
    <w:rsid w:val="00E21690"/>
    <w:rPr>
      <w:rFonts w:ascii="Times New Roman" w:eastAsia="Times New Roman" w:hAnsi="Times New Roman" w:cs="Times New Roman"/>
      <w:sz w:val="20"/>
      <w:szCs w:val="20"/>
      <w:lang w:val="es-ES_tradnl" w:eastAsia="es-ES"/>
    </w:rPr>
  </w:style>
  <w:style w:type="character" w:styleId="Refdenotaalpie">
    <w:name w:val="footnote reference"/>
    <w:semiHidden/>
    <w:rsid w:val="00E21690"/>
    <w:rPr>
      <w:vertAlign w:val="superscript"/>
    </w:rPr>
  </w:style>
  <w:style w:type="character" w:styleId="Hipervnculo">
    <w:name w:val="Hyperlink"/>
    <w:rsid w:val="00E21690"/>
    <w:rPr>
      <w:color w:val="0000FF"/>
      <w:u w:val="single"/>
    </w:rPr>
  </w:style>
  <w:style w:type="paragraph" w:styleId="Textoindependiente3">
    <w:name w:val="Body Text 3"/>
    <w:basedOn w:val="Normal"/>
    <w:link w:val="Textoindependiente3Car"/>
    <w:rsid w:val="00E21690"/>
    <w:pPr>
      <w:spacing w:after="120"/>
    </w:pPr>
    <w:rPr>
      <w:sz w:val="16"/>
      <w:szCs w:val="16"/>
    </w:rPr>
  </w:style>
  <w:style w:type="character" w:customStyle="1" w:styleId="Textoindependiente3Car">
    <w:name w:val="Texto independiente 3 Car"/>
    <w:basedOn w:val="Fuentedeprrafopredeter"/>
    <w:link w:val="Textoindependiente3"/>
    <w:rsid w:val="00E21690"/>
    <w:rPr>
      <w:rFonts w:ascii="Times New Roman" w:eastAsia="Times New Roman" w:hAnsi="Times New Roman" w:cs="Times New Roman"/>
      <w:sz w:val="16"/>
      <w:szCs w:val="16"/>
      <w:lang w:val="es-ES_tradnl" w:eastAsia="es-ES"/>
    </w:rPr>
  </w:style>
  <w:style w:type="paragraph" w:styleId="Prrafodelista">
    <w:name w:val="List Paragraph"/>
    <w:basedOn w:val="Normal"/>
    <w:uiPriority w:val="34"/>
    <w:qFormat/>
    <w:rsid w:val="00CD4E17"/>
    <w:pPr>
      <w:ind w:left="720"/>
      <w:contextualSpacing/>
    </w:pPr>
  </w:style>
  <w:style w:type="character" w:styleId="Refdecomentario">
    <w:name w:val="annotation reference"/>
    <w:basedOn w:val="Fuentedeprrafopredeter"/>
    <w:uiPriority w:val="99"/>
    <w:semiHidden/>
    <w:unhideWhenUsed/>
    <w:rsid w:val="00285CD5"/>
    <w:rPr>
      <w:sz w:val="16"/>
      <w:szCs w:val="16"/>
    </w:rPr>
  </w:style>
  <w:style w:type="paragraph" w:styleId="Textocomentario">
    <w:name w:val="annotation text"/>
    <w:basedOn w:val="Normal"/>
    <w:link w:val="TextocomentarioCar"/>
    <w:uiPriority w:val="99"/>
    <w:semiHidden/>
    <w:unhideWhenUsed/>
    <w:rsid w:val="00285CD5"/>
  </w:style>
  <w:style w:type="character" w:customStyle="1" w:styleId="TextocomentarioCar">
    <w:name w:val="Texto comentario Car"/>
    <w:basedOn w:val="Fuentedeprrafopredeter"/>
    <w:link w:val="Textocomentario"/>
    <w:uiPriority w:val="99"/>
    <w:semiHidden/>
    <w:rsid w:val="00285CD5"/>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85CD5"/>
    <w:rPr>
      <w:b/>
      <w:bCs/>
    </w:rPr>
  </w:style>
  <w:style w:type="character" w:customStyle="1" w:styleId="AsuntodelcomentarioCar">
    <w:name w:val="Asunto del comentario Car"/>
    <w:basedOn w:val="TextocomentarioCar"/>
    <w:link w:val="Asuntodelcomentario"/>
    <w:uiPriority w:val="99"/>
    <w:semiHidden/>
    <w:rsid w:val="00285CD5"/>
    <w:rPr>
      <w:rFonts w:ascii="Times New Roman" w:eastAsia="Times New Roman" w:hAnsi="Times New Roman" w:cs="Times New Roman"/>
      <w:b/>
      <w:bCs/>
      <w:sz w:val="20"/>
      <w:szCs w:val="20"/>
      <w:lang w:val="es-ES_tradnl" w:eastAsia="es-ES"/>
    </w:rPr>
  </w:style>
  <w:style w:type="character" w:customStyle="1" w:styleId="Mencinsinresolver1">
    <w:name w:val="Mención sin resolver1"/>
    <w:basedOn w:val="Fuentedeprrafopredeter"/>
    <w:uiPriority w:val="99"/>
    <w:semiHidden/>
    <w:unhideWhenUsed/>
    <w:rsid w:val="00D30A69"/>
    <w:rPr>
      <w:color w:val="605E5C"/>
      <w:shd w:val="clear" w:color="auto" w:fill="E1DFDD"/>
    </w:rPr>
  </w:style>
  <w:style w:type="paragraph" w:styleId="Revisin">
    <w:name w:val="Revision"/>
    <w:hidden/>
    <w:uiPriority w:val="99"/>
    <w:semiHidden/>
    <w:rsid w:val="002129B8"/>
    <w:pPr>
      <w:spacing w:after="0" w:line="240" w:lineRule="auto"/>
    </w:pPr>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477721">
      <w:bodyDiv w:val="1"/>
      <w:marLeft w:val="0"/>
      <w:marRight w:val="0"/>
      <w:marTop w:val="0"/>
      <w:marBottom w:val="0"/>
      <w:divBdr>
        <w:top w:val="none" w:sz="0" w:space="0" w:color="auto"/>
        <w:left w:val="none" w:sz="0" w:space="0" w:color="auto"/>
        <w:bottom w:val="none" w:sz="0" w:space="0" w:color="auto"/>
        <w:right w:val="none" w:sz="0" w:space="0" w:color="auto"/>
      </w:divBdr>
    </w:div>
    <w:div w:id="192186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ia.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3E4BC-9DAE-9C48-A5D6-5E8DE636B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2423</Words>
  <Characters>13328</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Mario Rodriguez</cp:lastModifiedBy>
  <cp:revision>12</cp:revision>
  <dcterms:created xsi:type="dcterms:W3CDTF">2026-09-16T10:14:00Z</dcterms:created>
  <dcterms:modified xsi:type="dcterms:W3CDTF">2026-09-25T08:27:00Z</dcterms:modified>
</cp:coreProperties>
</file>